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360" w:lineRule="auto"/>
        <w:ind w:left="0"/>
        <w:rPr>
          <w:rFonts w:hint="eastAsia" w:ascii="宋体" w:hAnsi="宋体" w:eastAsia="宋体" w:cs="宋体"/>
          <w:sz w:val="20"/>
        </w:rPr>
      </w:pPr>
    </w:p>
    <w:p>
      <w:pPr>
        <w:pStyle w:val="4"/>
        <w:spacing w:line="360" w:lineRule="auto"/>
        <w:ind w:left="0"/>
        <w:rPr>
          <w:rFonts w:hint="eastAsia" w:ascii="宋体" w:hAnsi="宋体" w:eastAsia="宋体" w:cs="宋体"/>
          <w:sz w:val="20"/>
        </w:rPr>
      </w:pPr>
    </w:p>
    <w:p>
      <w:pPr>
        <w:pStyle w:val="4"/>
        <w:spacing w:line="360" w:lineRule="auto"/>
        <w:ind w:left="0"/>
        <w:rPr>
          <w:rFonts w:hint="eastAsia" w:ascii="宋体" w:hAnsi="宋体" w:eastAsia="宋体" w:cs="宋体"/>
          <w:sz w:val="20"/>
        </w:rPr>
      </w:pPr>
    </w:p>
    <w:p>
      <w:pPr>
        <w:pStyle w:val="4"/>
        <w:spacing w:line="360" w:lineRule="auto"/>
        <w:ind w:left="0"/>
        <w:rPr>
          <w:rFonts w:hint="eastAsia" w:ascii="宋体" w:hAnsi="宋体" w:eastAsia="宋体" w:cs="宋体"/>
          <w:sz w:val="20"/>
        </w:rPr>
      </w:pPr>
    </w:p>
    <w:p>
      <w:pPr>
        <w:pStyle w:val="4"/>
        <w:spacing w:line="360" w:lineRule="auto"/>
        <w:ind w:left="0"/>
        <w:rPr>
          <w:rFonts w:hint="eastAsia" w:ascii="宋体" w:hAnsi="宋体" w:eastAsia="宋体" w:cs="宋体"/>
          <w:sz w:val="20"/>
        </w:rPr>
      </w:pPr>
    </w:p>
    <w:p>
      <w:pPr>
        <w:pStyle w:val="4"/>
        <w:spacing w:line="360" w:lineRule="auto"/>
        <w:ind w:left="0"/>
        <w:rPr>
          <w:rFonts w:hint="eastAsia" w:ascii="宋体" w:hAnsi="宋体" w:eastAsia="宋体" w:cs="宋体"/>
          <w:sz w:val="20"/>
        </w:rPr>
      </w:pPr>
    </w:p>
    <w:p>
      <w:pPr>
        <w:pStyle w:val="4"/>
        <w:spacing w:line="360" w:lineRule="auto"/>
        <w:ind w:left="0"/>
        <w:rPr>
          <w:rFonts w:hint="eastAsia" w:ascii="宋体" w:hAnsi="宋体" w:eastAsia="宋体" w:cs="宋体"/>
          <w:sz w:val="20"/>
        </w:rPr>
      </w:pPr>
    </w:p>
    <w:p>
      <w:pPr>
        <w:pStyle w:val="4"/>
        <w:spacing w:line="360" w:lineRule="auto"/>
        <w:ind w:left="0"/>
        <w:rPr>
          <w:rFonts w:hint="eastAsia" w:ascii="宋体" w:hAnsi="宋体" w:eastAsia="宋体" w:cs="宋体"/>
          <w:sz w:val="20"/>
        </w:rPr>
      </w:pPr>
    </w:p>
    <w:p>
      <w:pPr>
        <w:pStyle w:val="4"/>
        <w:spacing w:before="10" w:line="360" w:lineRule="auto"/>
        <w:ind w:left="0"/>
        <w:rPr>
          <w:rFonts w:hint="eastAsia" w:ascii="宋体" w:hAnsi="宋体" w:eastAsia="宋体" w:cs="宋体"/>
          <w:sz w:val="15"/>
        </w:rPr>
      </w:pPr>
    </w:p>
    <w:p>
      <w:pPr>
        <w:pStyle w:val="4"/>
        <w:spacing w:before="1" w:line="360" w:lineRule="auto"/>
        <w:ind w:left="0"/>
        <w:rPr>
          <w:rFonts w:hint="eastAsia" w:ascii="宋体" w:hAnsi="宋体" w:eastAsia="宋体" w:cs="宋体"/>
          <w:sz w:val="64"/>
        </w:rPr>
      </w:pPr>
    </w:p>
    <w:p>
      <w:pPr>
        <w:spacing w:line="360" w:lineRule="auto"/>
        <w:ind w:right="238"/>
        <w:jc w:val="center"/>
        <w:rPr>
          <w:rFonts w:hint="eastAsia" w:ascii="宋体" w:hAnsi="宋体" w:eastAsia="宋体" w:cs="宋体"/>
          <w:sz w:val="72"/>
          <w:szCs w:val="72"/>
        </w:rPr>
      </w:pPr>
      <w:r>
        <w:rPr>
          <w:rFonts w:hint="eastAsia" w:ascii="宋体" w:hAnsi="宋体" w:eastAsia="宋体" w:cs="宋体"/>
          <w:sz w:val="72"/>
          <w:szCs w:val="72"/>
        </w:rPr>
        <w:t>社会责任报告</w:t>
      </w:r>
    </w:p>
    <w:p>
      <w:pPr>
        <w:pStyle w:val="4"/>
        <w:spacing w:line="360" w:lineRule="auto"/>
        <w:ind w:left="0"/>
        <w:rPr>
          <w:rFonts w:hint="eastAsia" w:ascii="宋体" w:hAnsi="宋体" w:eastAsia="宋体" w:cs="宋体"/>
          <w:sz w:val="58"/>
        </w:rPr>
      </w:pPr>
    </w:p>
    <w:p>
      <w:pPr>
        <w:pStyle w:val="4"/>
        <w:spacing w:line="360" w:lineRule="auto"/>
        <w:ind w:left="0"/>
        <w:rPr>
          <w:rFonts w:hint="eastAsia" w:ascii="宋体" w:hAnsi="宋体" w:eastAsia="宋体" w:cs="宋体"/>
          <w:sz w:val="58"/>
        </w:rPr>
      </w:pPr>
    </w:p>
    <w:p>
      <w:pPr>
        <w:pStyle w:val="4"/>
        <w:spacing w:line="360" w:lineRule="auto"/>
        <w:ind w:left="0"/>
        <w:rPr>
          <w:rFonts w:hint="eastAsia" w:ascii="宋体" w:hAnsi="宋体" w:eastAsia="宋体" w:cs="宋体"/>
          <w:sz w:val="58"/>
        </w:rPr>
      </w:pPr>
    </w:p>
    <w:p>
      <w:pPr>
        <w:spacing w:before="28" w:line="360" w:lineRule="auto"/>
        <w:ind w:right="239"/>
        <w:jc w:val="center"/>
        <w:rPr>
          <w:rFonts w:hint="eastAsia" w:ascii="宋体" w:hAnsi="宋体" w:eastAsia="宋体" w:cs="宋体"/>
          <w:sz w:val="52"/>
        </w:rPr>
      </w:pPr>
    </w:p>
    <w:p>
      <w:pPr>
        <w:pStyle w:val="4"/>
        <w:spacing w:before="7" w:line="360" w:lineRule="auto"/>
        <w:ind w:left="0"/>
        <w:jc w:val="center"/>
        <w:rPr>
          <w:rFonts w:hint="eastAsia" w:ascii="宋体" w:hAnsi="宋体" w:eastAsia="宋体" w:cs="宋体"/>
          <w:sz w:val="52"/>
          <w:lang w:eastAsia="zh-CN"/>
        </w:rPr>
      </w:pPr>
    </w:p>
    <w:p>
      <w:pPr>
        <w:pStyle w:val="4"/>
        <w:spacing w:before="7" w:line="360" w:lineRule="auto"/>
        <w:ind w:left="0"/>
        <w:jc w:val="center"/>
        <w:rPr>
          <w:rFonts w:hint="eastAsia" w:ascii="宋体" w:hAnsi="宋体" w:eastAsia="宋体" w:cs="宋体"/>
          <w:sz w:val="41"/>
        </w:rPr>
      </w:pPr>
      <w:r>
        <w:rPr>
          <w:rFonts w:hint="eastAsia" w:ascii="宋体" w:hAnsi="宋体" w:eastAsia="宋体" w:cs="宋体"/>
          <w:sz w:val="52"/>
          <w:lang w:eastAsia="zh-CN"/>
        </w:rPr>
        <w:t>浙江鸿浩科技有限公司</w:t>
      </w:r>
    </w:p>
    <w:p>
      <w:pPr>
        <w:spacing w:before="54" w:line="360" w:lineRule="auto"/>
        <w:ind w:right="242"/>
        <w:jc w:val="center"/>
        <w:rPr>
          <w:rFonts w:hint="eastAsia" w:ascii="宋体" w:hAnsi="宋体" w:eastAsia="宋体" w:cs="宋体"/>
          <w:sz w:val="52"/>
        </w:rPr>
      </w:pPr>
      <w:r>
        <w:rPr>
          <w:rFonts w:hint="eastAsia" w:ascii="宋体" w:hAnsi="宋体" w:eastAsia="宋体" w:cs="宋体"/>
          <w:sz w:val="52"/>
        </w:rPr>
        <w:t>二零</w:t>
      </w:r>
      <w:r>
        <w:rPr>
          <w:rFonts w:hint="eastAsia" w:ascii="宋体" w:hAnsi="宋体" w:eastAsia="宋体" w:cs="宋体"/>
          <w:sz w:val="52"/>
          <w:lang w:val="en-US" w:eastAsia="zh-CN"/>
        </w:rPr>
        <w:t>二</w:t>
      </w:r>
      <w:r>
        <w:rPr>
          <w:rFonts w:hint="eastAsia" w:cs="宋体"/>
          <w:sz w:val="52"/>
          <w:lang w:val="en-US" w:eastAsia="zh-CN"/>
        </w:rPr>
        <w:t>四</w:t>
      </w:r>
      <w:r>
        <w:rPr>
          <w:rFonts w:hint="eastAsia" w:ascii="宋体" w:hAnsi="宋体" w:eastAsia="宋体" w:cs="宋体"/>
          <w:sz w:val="52"/>
        </w:rPr>
        <w:t>年</w:t>
      </w:r>
      <w:r>
        <w:rPr>
          <w:rFonts w:hint="eastAsia" w:cs="宋体"/>
          <w:sz w:val="52"/>
          <w:lang w:val="en-US" w:eastAsia="zh-CN"/>
        </w:rPr>
        <w:t>一</w:t>
      </w:r>
      <w:r>
        <w:rPr>
          <w:rFonts w:hint="eastAsia" w:ascii="宋体" w:hAnsi="宋体" w:eastAsia="宋体" w:cs="宋体"/>
          <w:sz w:val="52"/>
        </w:rPr>
        <w:t>月</w:t>
      </w:r>
    </w:p>
    <w:p>
      <w:pPr>
        <w:spacing w:before="54" w:line="360" w:lineRule="auto"/>
        <w:ind w:right="242"/>
        <w:jc w:val="both"/>
        <w:rPr>
          <w:rFonts w:hint="eastAsia" w:ascii="宋体" w:hAnsi="宋体" w:eastAsia="宋体" w:cs="宋体"/>
          <w:sz w:val="32"/>
        </w:rPr>
      </w:pPr>
    </w:p>
    <w:p>
      <w:pPr>
        <w:spacing w:before="54" w:line="360" w:lineRule="auto"/>
        <w:ind w:right="242"/>
        <w:jc w:val="center"/>
        <w:rPr>
          <w:rFonts w:hint="eastAsia" w:ascii="宋体" w:hAnsi="宋体" w:eastAsia="宋体" w:cs="宋体"/>
          <w:sz w:val="32"/>
        </w:rPr>
      </w:pPr>
      <w:r>
        <w:rPr>
          <w:rFonts w:hint="eastAsia" w:ascii="宋体" w:hAnsi="宋体" w:eastAsia="宋体" w:cs="宋体"/>
          <w:sz w:val="32"/>
        </w:rPr>
        <w:t>报告编写说明</w:t>
      </w:r>
    </w:p>
    <w:p>
      <w:pPr>
        <w:pStyle w:val="4"/>
        <w:spacing w:line="360" w:lineRule="auto"/>
        <w:ind w:left="0"/>
        <w:rPr>
          <w:rFonts w:hint="eastAsia" w:ascii="宋体" w:hAnsi="宋体" w:eastAsia="宋体" w:cs="宋体"/>
          <w:sz w:val="20"/>
        </w:rPr>
      </w:pPr>
    </w:p>
    <w:p>
      <w:pPr>
        <w:pStyle w:val="4"/>
        <w:spacing w:before="6" w:line="360" w:lineRule="auto"/>
        <w:ind w:left="0"/>
        <w:rPr>
          <w:rFonts w:hint="eastAsia" w:ascii="宋体" w:hAnsi="宋体" w:eastAsia="宋体" w:cs="宋体"/>
          <w:sz w:val="26"/>
        </w:rPr>
      </w:pPr>
    </w:p>
    <w:p>
      <w:pPr>
        <w:pStyle w:val="13"/>
        <w:numPr>
          <w:ilvl w:val="0"/>
          <w:numId w:val="1"/>
        </w:numPr>
        <w:tabs>
          <w:tab w:val="left" w:pos="480"/>
        </w:tabs>
        <w:spacing w:before="66" w:line="360" w:lineRule="auto"/>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报告简介</w:t>
      </w:r>
    </w:p>
    <w:p>
      <w:pPr>
        <w:pStyle w:val="4"/>
        <w:spacing w:before="189" w:line="360" w:lineRule="auto"/>
        <w:ind w:left="121" w:leftChars="55"/>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《浙江鸿浩科技有限公司 20</w:t>
      </w:r>
      <w:r>
        <w:rPr>
          <w:rFonts w:hint="eastAsia" w:ascii="宋体" w:hAnsi="宋体" w:eastAsia="宋体" w:cs="宋体"/>
          <w:spacing w:val="-5"/>
          <w:sz w:val="24"/>
          <w:szCs w:val="24"/>
          <w:lang w:val="en-US" w:eastAsia="zh-CN" w:bidi="zh-CN"/>
        </w:rPr>
        <w:t>2</w:t>
      </w:r>
      <w:r>
        <w:rPr>
          <w:rFonts w:hint="eastAsia" w:cs="宋体"/>
          <w:spacing w:val="-5"/>
          <w:sz w:val="24"/>
          <w:szCs w:val="24"/>
          <w:lang w:val="en-US" w:eastAsia="zh-CN" w:bidi="zh-CN"/>
        </w:rPr>
        <w:t>4</w:t>
      </w:r>
      <w:r>
        <w:rPr>
          <w:rFonts w:hint="eastAsia" w:ascii="宋体" w:hAnsi="宋体" w:eastAsia="宋体" w:cs="宋体"/>
          <w:spacing w:val="-5"/>
          <w:sz w:val="24"/>
          <w:szCs w:val="24"/>
          <w:lang w:val="zh-CN" w:eastAsia="zh-CN" w:bidi="zh-CN"/>
        </w:rPr>
        <w:t xml:space="preserve"> 年企业社会责任报告》是浙江鸿浩科技有限公司发布的第一份企业社会责任报告。报告回顾了</w:t>
      </w:r>
      <w:r>
        <w:rPr>
          <w:rFonts w:hint="eastAsia" w:cs="宋体"/>
          <w:spacing w:val="-5"/>
          <w:sz w:val="24"/>
          <w:szCs w:val="24"/>
          <w:lang w:val="en-US" w:eastAsia="zh-CN" w:bidi="zh-CN"/>
        </w:rPr>
        <w:t xml:space="preserve">鸿浩科技 </w:t>
      </w:r>
      <w:r>
        <w:rPr>
          <w:rFonts w:hint="eastAsia" w:ascii="宋体" w:hAnsi="宋体" w:eastAsia="宋体" w:cs="宋体"/>
          <w:spacing w:val="-5"/>
          <w:sz w:val="24"/>
          <w:szCs w:val="24"/>
          <w:lang w:val="zh-CN" w:eastAsia="zh-CN" w:bidi="zh-CN"/>
        </w:rPr>
        <w:t>20</w:t>
      </w:r>
      <w:r>
        <w:rPr>
          <w:rFonts w:hint="eastAsia" w:ascii="宋体" w:hAnsi="宋体" w:eastAsia="宋体" w:cs="宋体"/>
          <w:spacing w:val="-5"/>
          <w:sz w:val="24"/>
          <w:szCs w:val="24"/>
          <w:lang w:val="en-US" w:eastAsia="zh-CN" w:bidi="zh-CN"/>
        </w:rPr>
        <w:t>2</w:t>
      </w:r>
      <w:r>
        <w:rPr>
          <w:rFonts w:hint="eastAsia" w:cs="宋体"/>
          <w:spacing w:val="-5"/>
          <w:sz w:val="24"/>
          <w:szCs w:val="24"/>
          <w:lang w:val="en-US" w:eastAsia="zh-CN" w:bidi="zh-CN"/>
        </w:rPr>
        <w:t>4</w:t>
      </w:r>
      <w:r>
        <w:rPr>
          <w:rFonts w:hint="eastAsia" w:ascii="宋体" w:hAnsi="宋体" w:eastAsia="宋体" w:cs="宋体"/>
          <w:spacing w:val="-5"/>
          <w:sz w:val="24"/>
          <w:szCs w:val="24"/>
          <w:lang w:val="zh-CN" w:eastAsia="zh-CN" w:bidi="zh-CN"/>
        </w:rPr>
        <w:t xml:space="preserve"> 年所面临的机遇与挑战，披露了相关的社会责任实践和绩效。</w:t>
      </w:r>
    </w:p>
    <w:p>
      <w:pPr>
        <w:pStyle w:val="13"/>
        <w:numPr>
          <w:ilvl w:val="0"/>
          <w:numId w:val="1"/>
        </w:numPr>
        <w:tabs>
          <w:tab w:val="left" w:pos="480"/>
        </w:tabs>
        <w:spacing w:before="0"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时间范围</w:t>
      </w:r>
    </w:p>
    <w:p>
      <w:pPr>
        <w:pStyle w:val="4"/>
        <w:spacing w:before="187" w:line="360" w:lineRule="auto"/>
        <w:ind w:left="6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报告中的 202</w:t>
      </w:r>
      <w:r>
        <w:rPr>
          <w:rFonts w:hint="eastAsia" w:cs="宋体"/>
          <w:spacing w:val="-5"/>
          <w:sz w:val="24"/>
          <w:szCs w:val="24"/>
          <w:lang w:val="en-US" w:eastAsia="zh-CN" w:bidi="zh-CN"/>
        </w:rPr>
        <w:t>3</w:t>
      </w:r>
      <w:r>
        <w:rPr>
          <w:rFonts w:hint="eastAsia" w:ascii="宋体" w:hAnsi="宋体" w:eastAsia="宋体" w:cs="宋体"/>
          <w:spacing w:val="-5"/>
          <w:sz w:val="24"/>
          <w:szCs w:val="24"/>
          <w:lang w:val="zh-CN" w:eastAsia="zh-CN" w:bidi="zh-CN"/>
        </w:rPr>
        <w:t>年均指 202</w:t>
      </w:r>
      <w:r>
        <w:rPr>
          <w:rFonts w:hint="eastAsia" w:cs="宋体"/>
          <w:spacing w:val="-5"/>
          <w:sz w:val="24"/>
          <w:szCs w:val="24"/>
          <w:lang w:val="en-US" w:eastAsia="zh-CN" w:bidi="zh-CN"/>
        </w:rPr>
        <w:t>3</w:t>
      </w:r>
      <w:r>
        <w:rPr>
          <w:rFonts w:hint="eastAsia" w:ascii="宋体" w:hAnsi="宋体" w:eastAsia="宋体" w:cs="宋体"/>
          <w:spacing w:val="-5"/>
          <w:sz w:val="24"/>
          <w:szCs w:val="24"/>
          <w:lang w:val="zh-CN" w:eastAsia="zh-CN" w:bidi="zh-CN"/>
        </w:rPr>
        <w:t>财年。</w:t>
      </w:r>
    </w:p>
    <w:p>
      <w:pPr>
        <w:pStyle w:val="13"/>
        <w:numPr>
          <w:ilvl w:val="0"/>
          <w:numId w:val="1"/>
        </w:numPr>
        <w:tabs>
          <w:tab w:val="left" w:pos="480"/>
        </w:tabs>
        <w:spacing w:before="189" w:line="360" w:lineRule="auto"/>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发布周期</w:t>
      </w:r>
    </w:p>
    <w:p>
      <w:pPr>
        <w:pStyle w:val="4"/>
        <w:spacing w:before="190" w:line="360" w:lineRule="auto"/>
        <w:ind w:left="6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本报告为年度报告。</w:t>
      </w:r>
    </w:p>
    <w:p>
      <w:pPr>
        <w:pStyle w:val="13"/>
        <w:numPr>
          <w:ilvl w:val="0"/>
          <w:numId w:val="1"/>
        </w:numPr>
        <w:tabs>
          <w:tab w:val="left" w:pos="480"/>
        </w:tabs>
        <w:spacing w:before="187" w:line="360" w:lineRule="auto"/>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报告范围</w:t>
      </w:r>
    </w:p>
    <w:p>
      <w:pPr>
        <w:pStyle w:val="4"/>
        <w:spacing w:before="189" w:line="360" w:lineRule="auto"/>
        <w:ind w:left="6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与浙江鸿浩科技有限公司的业务范围一致。</w:t>
      </w:r>
    </w:p>
    <w:p>
      <w:pPr>
        <w:pStyle w:val="13"/>
        <w:numPr>
          <w:ilvl w:val="0"/>
          <w:numId w:val="1"/>
        </w:numPr>
        <w:tabs>
          <w:tab w:val="left" w:pos="480"/>
        </w:tabs>
        <w:spacing w:before="189" w:line="360" w:lineRule="auto"/>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数据来源</w:t>
      </w:r>
    </w:p>
    <w:p>
      <w:pPr>
        <w:pStyle w:val="4"/>
        <w:spacing w:before="187" w:line="360" w:lineRule="auto"/>
        <w:ind w:right="360"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报告使用数据来自</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 xml:space="preserve"> 202</w:t>
      </w:r>
      <w:r>
        <w:rPr>
          <w:rFonts w:hint="eastAsia" w:cs="宋体"/>
          <w:spacing w:val="-5"/>
          <w:sz w:val="24"/>
          <w:szCs w:val="24"/>
          <w:lang w:val="en-US" w:eastAsia="zh-CN" w:bidi="zh-CN"/>
        </w:rPr>
        <w:t>3</w:t>
      </w:r>
      <w:r>
        <w:rPr>
          <w:rFonts w:hint="eastAsia" w:ascii="宋体" w:hAnsi="宋体" w:eastAsia="宋体" w:cs="宋体"/>
          <w:spacing w:val="-5"/>
          <w:sz w:val="24"/>
          <w:szCs w:val="24"/>
          <w:lang w:val="zh-CN" w:eastAsia="zh-CN" w:bidi="zh-CN"/>
        </w:rPr>
        <w:t>年报，以及公司正式文件和统计报告。部门数据由于数据统计和口径的原因，有不完善的地方。我们将在日后不断完善数据指标统计系统，以保证将来提供更加全面的信息。</w:t>
      </w:r>
    </w:p>
    <w:p>
      <w:pPr>
        <w:pStyle w:val="13"/>
        <w:numPr>
          <w:ilvl w:val="0"/>
          <w:numId w:val="1"/>
        </w:numPr>
        <w:tabs>
          <w:tab w:val="left" w:pos="480"/>
        </w:tabs>
        <w:spacing w:before="0" w:line="360" w:lineRule="auto"/>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指代说明</w:t>
      </w:r>
    </w:p>
    <w:p>
      <w:pPr>
        <w:pStyle w:val="4"/>
        <w:spacing w:before="189" w:line="360" w:lineRule="auto"/>
        <w:ind w:right="358" w:firstLine="48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为便于表述，报告中“公司”、“我们”、 “</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”均指代“浙江鸿浩科技有限公司”。</w:t>
      </w:r>
    </w:p>
    <w:p>
      <w:pPr>
        <w:spacing w:line="360" w:lineRule="auto"/>
        <w:rPr>
          <w:rFonts w:hint="eastAsia" w:ascii="宋体" w:hAnsi="宋体" w:eastAsia="宋体" w:cs="宋体"/>
          <w:spacing w:val="-5"/>
          <w:sz w:val="24"/>
          <w:szCs w:val="24"/>
          <w:lang w:val="zh-CN" w:eastAsia="zh-CN" w:bidi="zh-CN"/>
        </w:rPr>
        <w:sectPr>
          <w:headerReference r:id="rId3" w:type="default"/>
          <w:footerReference r:id="rId4" w:type="default"/>
          <w:pgSz w:w="11910" w:h="16840"/>
          <w:pgMar w:top="1420" w:right="1440" w:bottom="1380" w:left="1680" w:header="877" w:footer="1197" w:gutter="0"/>
          <w:cols w:space="720" w:num="1"/>
        </w:sectPr>
      </w:pPr>
    </w:p>
    <w:p>
      <w:pPr>
        <w:pStyle w:val="4"/>
        <w:spacing w:before="1" w:line="360" w:lineRule="auto"/>
        <w:ind w:left="0"/>
        <w:rPr>
          <w:rFonts w:hint="eastAsia" w:ascii="宋体" w:hAnsi="宋体" w:eastAsia="宋体" w:cs="宋体"/>
          <w:sz w:val="19"/>
        </w:rPr>
      </w:pPr>
    </w:p>
    <w:p>
      <w:pPr>
        <w:pStyle w:val="3"/>
        <w:tabs>
          <w:tab w:val="left" w:pos="724"/>
        </w:tabs>
        <w:spacing w:line="360" w:lineRule="auto"/>
        <w:rPr>
          <w:rFonts w:hint="eastAsia" w:ascii="宋体" w:hAnsi="宋体" w:eastAsia="宋体" w:cs="宋体"/>
        </w:rPr>
      </w:pPr>
    </w:p>
    <w:sdt>
      <w:sdtPr>
        <w:rPr>
          <w:rFonts w:hint="eastAsia" w:ascii="宋体" w:hAnsi="宋体" w:eastAsia="宋体" w:cs="宋体"/>
          <w:color w:val="auto"/>
          <w:sz w:val="22"/>
          <w:szCs w:val="22"/>
          <w:lang w:val="zh-CN" w:bidi="zh-CN"/>
        </w:rPr>
        <w:id w:val="1619027494"/>
        <w:docPartObj>
          <w:docPartGallery w:val="Table of Contents"/>
          <w:docPartUnique/>
        </w:docPartObj>
      </w:sdtPr>
      <w:sdtEndPr>
        <w:rPr>
          <w:rFonts w:hint="eastAsia" w:ascii="宋体" w:hAnsi="宋体" w:eastAsia="宋体" w:cs="宋体"/>
          <w:b/>
          <w:bCs/>
          <w:color w:val="auto"/>
          <w:sz w:val="22"/>
          <w:szCs w:val="22"/>
          <w:lang w:val="zh-CN" w:bidi="zh-CN"/>
        </w:rPr>
      </w:sdtEndPr>
      <w:sdtContent>
        <w:p>
          <w:pPr>
            <w:pStyle w:val="18"/>
            <w:spacing w:line="360" w:lineRule="auto"/>
            <w:jc w:val="center"/>
            <w:rPr>
              <w:rFonts w:hint="eastAsia" w:ascii="宋体" w:hAnsi="宋体" w:eastAsia="宋体" w:cs="宋体"/>
            </w:rPr>
          </w:pPr>
          <w:r>
            <w:rPr>
              <w:rFonts w:hint="eastAsia" w:ascii="宋体" w:hAnsi="宋体" w:eastAsia="宋体" w:cs="宋体"/>
              <w:lang w:val="zh-CN"/>
            </w:rPr>
            <w:t>目录</w:t>
          </w:r>
        </w:p>
        <w:p>
          <w:pPr>
            <w:pStyle w:val="8"/>
            <w:tabs>
              <w:tab w:val="right" w:leader="dot" w:pos="8780"/>
            </w:tabs>
            <w:spacing w:line="360" w:lineRule="auto"/>
            <w:rPr>
              <w:rFonts w:hint="eastAsia" w:ascii="宋体" w:hAnsi="宋体" w:eastAsia="宋体" w:cs="宋体"/>
              <w:kern w:val="2"/>
              <w:sz w:val="21"/>
              <w:szCs w:val="22"/>
              <w:lang w:val="en-US" w:bidi="ar-SA"/>
            </w:rPr>
          </w:pPr>
          <w:r>
            <w:rPr>
              <w:rFonts w:hint="eastAsia" w:ascii="宋体" w:hAnsi="宋体" w:eastAsia="宋体" w:cs="宋体"/>
            </w:rPr>
            <w:fldChar w:fldCharType="begin"/>
          </w:r>
          <w:r>
            <w:rPr>
              <w:rFonts w:hint="eastAsia" w:ascii="宋体" w:hAnsi="宋体" w:eastAsia="宋体" w:cs="宋体"/>
            </w:rPr>
            <w:instrText xml:space="preserve"> TOC \o "1-3" \h \z \u </w:instrText>
          </w:r>
          <w:r>
            <w:rPr>
              <w:rFonts w:hint="eastAsia" w:ascii="宋体" w:hAnsi="宋体" w:eastAsia="宋体" w:cs="宋体"/>
            </w:rPr>
            <w:fldChar w:fldCharType="separate"/>
          </w:r>
          <w:r>
            <w:rPr>
              <w:rFonts w:hint="eastAsia" w:ascii="宋体" w:hAnsi="宋体" w:eastAsia="宋体" w:cs="宋体"/>
            </w:rPr>
            <w:fldChar w:fldCharType="begin"/>
          </w:r>
          <w:r>
            <w:rPr>
              <w:rFonts w:hint="eastAsia" w:ascii="宋体" w:hAnsi="宋体" w:eastAsia="宋体" w:cs="宋体"/>
            </w:rPr>
            <w:instrText xml:space="preserve"> HYPERLINK \l "_Toc24531704" </w:instrText>
          </w:r>
          <w:r>
            <w:rPr>
              <w:rFonts w:hint="eastAsia" w:ascii="宋体" w:hAnsi="宋体" w:eastAsia="宋体" w:cs="宋体"/>
            </w:rPr>
            <w:fldChar w:fldCharType="separate"/>
          </w:r>
          <w:r>
            <w:rPr>
              <w:rStyle w:val="11"/>
              <w:rFonts w:hint="eastAsia" w:ascii="宋体" w:hAnsi="宋体" w:eastAsia="宋体" w:cs="宋体"/>
            </w:rPr>
            <w:t>公司概况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_Toc24531704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8780"/>
            </w:tabs>
            <w:spacing w:line="360" w:lineRule="auto"/>
            <w:rPr>
              <w:rFonts w:hint="eastAsia" w:ascii="宋体" w:hAnsi="宋体" w:eastAsia="宋体" w:cs="宋体"/>
              <w:kern w:val="2"/>
              <w:sz w:val="21"/>
              <w:szCs w:val="22"/>
              <w:lang w:val="en-US" w:bidi="ar-SA"/>
            </w:rPr>
          </w:pPr>
          <w:r>
            <w:rPr>
              <w:rFonts w:hint="eastAsia" w:ascii="宋体" w:hAnsi="宋体" w:eastAsia="宋体" w:cs="宋体"/>
            </w:rPr>
            <w:fldChar w:fldCharType="begin"/>
          </w:r>
          <w:r>
            <w:rPr>
              <w:rFonts w:hint="eastAsia" w:ascii="宋体" w:hAnsi="宋体" w:eastAsia="宋体" w:cs="宋体"/>
            </w:rPr>
            <w:instrText xml:space="preserve"> HYPERLINK \l "_Toc24531705" </w:instrText>
          </w:r>
          <w:r>
            <w:rPr>
              <w:rFonts w:hint="eastAsia" w:ascii="宋体" w:hAnsi="宋体" w:eastAsia="宋体" w:cs="宋体"/>
            </w:rPr>
            <w:fldChar w:fldCharType="separate"/>
          </w:r>
          <w:r>
            <w:rPr>
              <w:rStyle w:val="11"/>
              <w:rFonts w:hint="eastAsia" w:ascii="宋体" w:hAnsi="宋体" w:eastAsia="宋体" w:cs="宋体"/>
            </w:rPr>
            <w:t>一、责任聚焦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_Toc24531705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8780"/>
            </w:tabs>
            <w:spacing w:line="360" w:lineRule="auto"/>
            <w:rPr>
              <w:rFonts w:hint="eastAsia" w:ascii="宋体" w:hAnsi="宋体" w:eastAsia="宋体" w:cs="宋体"/>
              <w:kern w:val="2"/>
              <w:sz w:val="21"/>
              <w:szCs w:val="22"/>
              <w:lang w:val="en-US" w:bidi="ar-SA"/>
            </w:rPr>
          </w:pPr>
          <w:r>
            <w:rPr>
              <w:rFonts w:hint="eastAsia" w:ascii="宋体" w:hAnsi="宋体" w:eastAsia="宋体" w:cs="宋体"/>
            </w:rPr>
            <w:fldChar w:fldCharType="begin"/>
          </w:r>
          <w:r>
            <w:rPr>
              <w:rFonts w:hint="eastAsia" w:ascii="宋体" w:hAnsi="宋体" w:eastAsia="宋体" w:cs="宋体"/>
            </w:rPr>
            <w:instrText xml:space="preserve"> HYPERLINK \l "_Toc24531706" </w:instrText>
          </w:r>
          <w:r>
            <w:rPr>
              <w:rFonts w:hint="eastAsia" w:ascii="宋体" w:hAnsi="宋体" w:eastAsia="宋体" w:cs="宋体"/>
            </w:rPr>
            <w:fldChar w:fldCharType="separate"/>
          </w:r>
          <w:r>
            <w:rPr>
              <w:rStyle w:val="11"/>
              <w:rFonts w:hint="eastAsia" w:ascii="宋体" w:hAnsi="宋体" w:eastAsia="宋体" w:cs="宋体"/>
            </w:rPr>
            <w:t>二、战略与管理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_Toc24531706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8780"/>
            </w:tabs>
            <w:spacing w:line="360" w:lineRule="auto"/>
            <w:rPr>
              <w:rFonts w:hint="eastAsia" w:ascii="宋体" w:hAnsi="宋体" w:eastAsia="宋体" w:cs="宋体"/>
              <w:kern w:val="2"/>
              <w:sz w:val="21"/>
              <w:szCs w:val="22"/>
              <w:lang w:val="en-US" w:bidi="ar-SA"/>
            </w:rPr>
          </w:pPr>
          <w:r>
            <w:rPr>
              <w:rFonts w:hint="eastAsia" w:ascii="宋体" w:hAnsi="宋体" w:eastAsia="宋体" w:cs="宋体"/>
            </w:rPr>
            <w:fldChar w:fldCharType="begin"/>
          </w:r>
          <w:r>
            <w:rPr>
              <w:rFonts w:hint="eastAsia" w:ascii="宋体" w:hAnsi="宋体" w:eastAsia="宋体" w:cs="宋体"/>
            </w:rPr>
            <w:instrText xml:space="preserve"> HYPERLINK \l "_Toc24531707" </w:instrText>
          </w:r>
          <w:r>
            <w:rPr>
              <w:rFonts w:hint="eastAsia" w:ascii="宋体" w:hAnsi="宋体" w:eastAsia="宋体" w:cs="宋体"/>
            </w:rPr>
            <w:fldChar w:fldCharType="separate"/>
          </w:r>
          <w:r>
            <w:rPr>
              <w:rStyle w:val="11"/>
              <w:rFonts w:hint="eastAsia" w:ascii="宋体" w:hAnsi="宋体" w:eastAsia="宋体" w:cs="宋体"/>
            </w:rPr>
            <w:t>三、守法合规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_Toc24531707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8780"/>
            </w:tabs>
            <w:spacing w:line="360" w:lineRule="auto"/>
            <w:rPr>
              <w:rFonts w:hint="eastAsia" w:ascii="宋体" w:hAnsi="宋体" w:eastAsia="宋体" w:cs="宋体"/>
              <w:kern w:val="2"/>
              <w:sz w:val="21"/>
              <w:szCs w:val="22"/>
              <w:lang w:val="en-US" w:bidi="ar-SA"/>
            </w:rPr>
          </w:pPr>
          <w:r>
            <w:rPr>
              <w:rFonts w:hint="eastAsia" w:ascii="宋体" w:hAnsi="宋体" w:eastAsia="宋体" w:cs="宋体"/>
            </w:rPr>
            <w:fldChar w:fldCharType="begin"/>
          </w:r>
          <w:r>
            <w:rPr>
              <w:rFonts w:hint="eastAsia" w:ascii="宋体" w:hAnsi="宋体" w:eastAsia="宋体" w:cs="宋体"/>
            </w:rPr>
            <w:instrText xml:space="preserve"> HYPERLINK \l "_Toc24531708" </w:instrText>
          </w:r>
          <w:r>
            <w:rPr>
              <w:rFonts w:hint="eastAsia" w:ascii="宋体" w:hAnsi="宋体" w:eastAsia="宋体" w:cs="宋体"/>
            </w:rPr>
            <w:fldChar w:fldCharType="separate"/>
          </w:r>
          <w:r>
            <w:rPr>
              <w:rStyle w:val="11"/>
              <w:rFonts w:hint="eastAsia" w:ascii="宋体" w:hAnsi="宋体" w:eastAsia="宋体" w:cs="宋体"/>
            </w:rPr>
            <w:t>四、回报股东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_Toc24531708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8780"/>
            </w:tabs>
            <w:spacing w:line="360" w:lineRule="auto"/>
            <w:rPr>
              <w:rFonts w:hint="eastAsia" w:ascii="宋体" w:hAnsi="宋体" w:eastAsia="宋体" w:cs="宋体"/>
              <w:kern w:val="2"/>
              <w:sz w:val="21"/>
              <w:szCs w:val="22"/>
              <w:lang w:val="en-US" w:bidi="ar-SA"/>
            </w:rPr>
          </w:pPr>
          <w:r>
            <w:rPr>
              <w:rFonts w:hint="eastAsia" w:ascii="宋体" w:hAnsi="宋体" w:eastAsia="宋体" w:cs="宋体"/>
            </w:rPr>
            <w:fldChar w:fldCharType="begin"/>
          </w:r>
          <w:r>
            <w:rPr>
              <w:rFonts w:hint="eastAsia" w:ascii="宋体" w:hAnsi="宋体" w:eastAsia="宋体" w:cs="宋体"/>
            </w:rPr>
            <w:instrText xml:space="preserve"> HYPERLINK \l "_Toc24531709" </w:instrText>
          </w:r>
          <w:r>
            <w:rPr>
              <w:rFonts w:hint="eastAsia" w:ascii="宋体" w:hAnsi="宋体" w:eastAsia="宋体" w:cs="宋体"/>
            </w:rPr>
            <w:fldChar w:fldCharType="separate"/>
          </w:r>
          <w:r>
            <w:rPr>
              <w:rStyle w:val="11"/>
              <w:rFonts w:hint="eastAsia" w:ascii="宋体" w:hAnsi="宋体" w:eastAsia="宋体" w:cs="宋体"/>
            </w:rPr>
            <w:t>五、服务客户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_Toc24531709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8780"/>
            </w:tabs>
            <w:spacing w:line="360" w:lineRule="auto"/>
            <w:rPr>
              <w:rFonts w:hint="eastAsia" w:ascii="宋体" w:hAnsi="宋体" w:eastAsia="宋体" w:cs="宋体"/>
              <w:kern w:val="2"/>
              <w:sz w:val="21"/>
              <w:szCs w:val="22"/>
              <w:lang w:val="en-US" w:bidi="ar-SA"/>
            </w:rPr>
          </w:pPr>
          <w:r>
            <w:rPr>
              <w:rFonts w:hint="eastAsia" w:ascii="宋体" w:hAnsi="宋体" w:eastAsia="宋体" w:cs="宋体"/>
            </w:rPr>
            <w:fldChar w:fldCharType="begin"/>
          </w:r>
          <w:r>
            <w:rPr>
              <w:rFonts w:hint="eastAsia" w:ascii="宋体" w:hAnsi="宋体" w:eastAsia="宋体" w:cs="宋体"/>
            </w:rPr>
            <w:instrText xml:space="preserve"> HYPERLINK \l "_Toc24531710" </w:instrText>
          </w:r>
          <w:r>
            <w:rPr>
              <w:rFonts w:hint="eastAsia" w:ascii="宋体" w:hAnsi="宋体" w:eastAsia="宋体" w:cs="宋体"/>
            </w:rPr>
            <w:fldChar w:fldCharType="separate"/>
          </w:r>
          <w:r>
            <w:rPr>
              <w:rStyle w:val="11"/>
              <w:rFonts w:hint="eastAsia" w:ascii="宋体" w:hAnsi="宋体" w:eastAsia="宋体" w:cs="宋体"/>
            </w:rPr>
            <w:t>六、造福员工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_Toc24531710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8780"/>
            </w:tabs>
            <w:spacing w:line="360" w:lineRule="auto"/>
            <w:rPr>
              <w:rFonts w:hint="eastAsia" w:ascii="宋体" w:hAnsi="宋体" w:eastAsia="宋体" w:cs="宋体"/>
              <w:kern w:val="2"/>
              <w:sz w:val="21"/>
              <w:szCs w:val="22"/>
              <w:lang w:val="en-US" w:bidi="ar-SA"/>
            </w:rPr>
          </w:pPr>
          <w:r>
            <w:rPr>
              <w:rFonts w:hint="eastAsia" w:ascii="宋体" w:hAnsi="宋体" w:eastAsia="宋体" w:cs="宋体"/>
            </w:rPr>
            <w:fldChar w:fldCharType="begin"/>
          </w:r>
          <w:r>
            <w:rPr>
              <w:rFonts w:hint="eastAsia" w:ascii="宋体" w:hAnsi="宋体" w:eastAsia="宋体" w:cs="宋体"/>
            </w:rPr>
            <w:instrText xml:space="preserve"> HYPERLINK \l "_Toc24531711" </w:instrText>
          </w:r>
          <w:r>
            <w:rPr>
              <w:rFonts w:hint="eastAsia" w:ascii="宋体" w:hAnsi="宋体" w:eastAsia="宋体" w:cs="宋体"/>
            </w:rPr>
            <w:fldChar w:fldCharType="separate"/>
          </w:r>
          <w:r>
            <w:rPr>
              <w:rStyle w:val="11"/>
              <w:rFonts w:hint="eastAsia" w:ascii="宋体" w:hAnsi="宋体" w:eastAsia="宋体" w:cs="宋体"/>
            </w:rPr>
            <w:t>七、奉献社会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_Toc24531711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8780"/>
            </w:tabs>
            <w:spacing w:line="360" w:lineRule="auto"/>
            <w:rPr>
              <w:rFonts w:hint="eastAsia" w:ascii="宋体" w:hAnsi="宋体" w:eastAsia="宋体" w:cs="宋体"/>
              <w:kern w:val="2"/>
              <w:sz w:val="21"/>
              <w:szCs w:val="22"/>
              <w:lang w:val="en-US" w:bidi="ar-SA"/>
            </w:rPr>
          </w:pPr>
          <w:r>
            <w:rPr>
              <w:rFonts w:hint="eastAsia" w:ascii="宋体" w:hAnsi="宋体" w:eastAsia="宋体" w:cs="宋体"/>
            </w:rPr>
            <w:fldChar w:fldCharType="begin"/>
          </w:r>
          <w:r>
            <w:rPr>
              <w:rFonts w:hint="eastAsia" w:ascii="宋体" w:hAnsi="宋体" w:eastAsia="宋体" w:cs="宋体"/>
            </w:rPr>
            <w:instrText xml:space="preserve"> HYPERLINK \l "_Toc24531712" </w:instrText>
          </w:r>
          <w:r>
            <w:rPr>
              <w:rFonts w:hint="eastAsia" w:ascii="宋体" w:hAnsi="宋体" w:eastAsia="宋体" w:cs="宋体"/>
            </w:rPr>
            <w:fldChar w:fldCharType="separate"/>
          </w:r>
          <w:r>
            <w:rPr>
              <w:rStyle w:val="11"/>
              <w:rFonts w:hint="eastAsia" w:ascii="宋体" w:hAnsi="宋体" w:eastAsia="宋体" w:cs="宋体"/>
              <w:spacing w:val="-1"/>
            </w:rPr>
            <w:t>八、合作伙伴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_Toc24531712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pStyle w:val="8"/>
            <w:tabs>
              <w:tab w:val="right" w:leader="dot" w:pos="8780"/>
            </w:tabs>
            <w:spacing w:line="360" w:lineRule="auto"/>
            <w:rPr>
              <w:rFonts w:hint="eastAsia" w:ascii="宋体" w:hAnsi="宋体" w:eastAsia="宋体" w:cs="宋体"/>
              <w:kern w:val="2"/>
              <w:sz w:val="21"/>
              <w:szCs w:val="22"/>
              <w:lang w:val="en-US" w:bidi="ar-SA"/>
            </w:rPr>
          </w:pPr>
          <w:r>
            <w:rPr>
              <w:rFonts w:hint="eastAsia" w:ascii="宋体" w:hAnsi="宋体" w:eastAsia="宋体" w:cs="宋体"/>
            </w:rPr>
            <w:fldChar w:fldCharType="begin"/>
          </w:r>
          <w:r>
            <w:rPr>
              <w:rFonts w:hint="eastAsia" w:ascii="宋体" w:hAnsi="宋体" w:eastAsia="宋体" w:cs="宋体"/>
            </w:rPr>
            <w:instrText xml:space="preserve"> HYPERLINK \l "_Toc24531713" </w:instrText>
          </w:r>
          <w:r>
            <w:rPr>
              <w:rFonts w:hint="eastAsia" w:ascii="宋体" w:hAnsi="宋体" w:eastAsia="宋体" w:cs="宋体"/>
            </w:rPr>
            <w:fldChar w:fldCharType="separate"/>
          </w:r>
          <w:r>
            <w:rPr>
              <w:rStyle w:val="11"/>
              <w:rFonts w:hint="eastAsia" w:ascii="宋体" w:hAnsi="宋体" w:eastAsia="宋体" w:cs="宋体"/>
            </w:rPr>
            <w:t>九、存在问题及改进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_Toc24531713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rPr>
            <w:fldChar w:fldCharType="end"/>
          </w:r>
        </w:p>
        <w:p>
          <w:pPr>
            <w:spacing w:line="360" w:lineRule="auto"/>
            <w:rPr>
              <w:rFonts w:hint="eastAsia" w:ascii="宋体" w:hAnsi="宋体" w:eastAsia="宋体" w:cs="宋体"/>
            </w:rPr>
          </w:pPr>
          <w:r>
            <w:rPr>
              <w:rFonts w:hint="eastAsia" w:ascii="宋体" w:hAnsi="宋体" w:eastAsia="宋体" w:cs="宋体"/>
              <w:b/>
              <w:bCs/>
            </w:rPr>
            <w:fldChar w:fldCharType="end"/>
          </w:r>
        </w:p>
      </w:sdtContent>
    </w:sdt>
    <w:p>
      <w:pPr>
        <w:pStyle w:val="2"/>
        <w:spacing w:before="143" w:line="360" w:lineRule="auto"/>
        <w:ind w:left="0" w:right="235"/>
        <w:jc w:val="center"/>
        <w:rPr>
          <w:rFonts w:hint="eastAsia" w:ascii="宋体" w:hAnsi="宋体" w:eastAsia="宋体" w:cs="宋体"/>
        </w:rPr>
      </w:pPr>
    </w:p>
    <w:p>
      <w:pPr>
        <w:pStyle w:val="2"/>
        <w:spacing w:before="143" w:line="360" w:lineRule="auto"/>
        <w:ind w:left="0" w:right="235"/>
        <w:jc w:val="center"/>
        <w:rPr>
          <w:rFonts w:hint="eastAsia" w:ascii="宋体" w:hAnsi="宋体" w:eastAsia="宋体" w:cs="宋体"/>
        </w:rPr>
      </w:pPr>
    </w:p>
    <w:p>
      <w:pPr>
        <w:pStyle w:val="2"/>
        <w:spacing w:before="143" w:line="360" w:lineRule="auto"/>
        <w:ind w:left="0" w:right="235"/>
        <w:jc w:val="center"/>
        <w:rPr>
          <w:rFonts w:hint="eastAsia" w:ascii="宋体" w:hAnsi="宋体" w:eastAsia="宋体" w:cs="宋体"/>
        </w:rPr>
      </w:pPr>
    </w:p>
    <w:p>
      <w:pPr>
        <w:pStyle w:val="2"/>
        <w:spacing w:before="143" w:line="360" w:lineRule="auto"/>
        <w:ind w:left="0" w:right="235"/>
        <w:jc w:val="center"/>
        <w:rPr>
          <w:rFonts w:hint="eastAsia" w:ascii="宋体" w:hAnsi="宋体" w:eastAsia="宋体" w:cs="宋体"/>
        </w:rPr>
      </w:pPr>
    </w:p>
    <w:p>
      <w:pPr>
        <w:pStyle w:val="2"/>
        <w:spacing w:before="143" w:line="360" w:lineRule="auto"/>
        <w:ind w:left="0" w:right="235"/>
        <w:jc w:val="center"/>
        <w:rPr>
          <w:rFonts w:hint="eastAsia" w:ascii="宋体" w:hAnsi="宋体" w:eastAsia="宋体" w:cs="宋体"/>
        </w:rPr>
      </w:pPr>
    </w:p>
    <w:p>
      <w:pPr>
        <w:pStyle w:val="2"/>
        <w:spacing w:before="143" w:line="360" w:lineRule="auto"/>
        <w:ind w:left="0" w:right="235"/>
        <w:jc w:val="both"/>
        <w:rPr>
          <w:rFonts w:hint="eastAsia" w:ascii="宋体" w:hAnsi="宋体" w:eastAsia="宋体" w:cs="宋体"/>
        </w:rPr>
      </w:pPr>
    </w:p>
    <w:p>
      <w:pPr>
        <w:pStyle w:val="2"/>
        <w:spacing w:before="143" w:line="360" w:lineRule="auto"/>
        <w:ind w:left="0" w:right="235"/>
        <w:jc w:val="center"/>
        <w:rPr>
          <w:rFonts w:hint="eastAsia" w:ascii="宋体" w:hAnsi="宋体" w:eastAsia="宋体" w:cs="宋体"/>
        </w:rPr>
      </w:pPr>
      <w:bookmarkStart w:id="0" w:name="_Toc24531704"/>
      <w:r>
        <w:rPr>
          <w:rFonts w:hint="eastAsia" w:ascii="宋体" w:hAnsi="宋体" w:eastAsia="宋体" w:cs="宋体"/>
        </w:rPr>
        <w:t>公司概况</w:t>
      </w:r>
      <w:bookmarkEnd w:id="0"/>
    </w:p>
    <w:p>
      <w:pPr>
        <w:pStyle w:val="4"/>
        <w:spacing w:before="6" w:line="360" w:lineRule="auto"/>
        <w:ind w:left="0"/>
        <w:rPr>
          <w:rFonts w:hint="eastAsia" w:ascii="宋体" w:hAnsi="宋体" w:eastAsia="宋体" w:cs="宋体"/>
          <w:sz w:val="22"/>
        </w:rPr>
      </w:pPr>
    </w:p>
    <w:p>
      <w:pPr>
        <w:spacing w:line="360" w:lineRule="auto"/>
        <w:ind w:firstLine="460" w:firstLineChars="200"/>
        <w:jc w:val="both"/>
        <w:rPr>
          <w:rFonts w:hint="eastAsia" w:ascii="宋体" w:hAnsi="宋体" w:eastAsia="宋体" w:cs="宋体"/>
        </w:rPr>
        <w:sectPr>
          <w:pgSz w:w="11910" w:h="16840"/>
          <w:pgMar w:top="1420" w:right="1440" w:bottom="1380" w:left="1680" w:header="877" w:footer="1197" w:gutter="0"/>
          <w:cols w:space="720" w:num="1"/>
        </w:sectPr>
      </w:pPr>
      <w:r>
        <w:rPr>
          <w:rFonts w:hint="eastAsia" w:ascii="宋体" w:hAnsi="宋体" w:eastAsia="宋体" w:cs="宋体"/>
          <w:spacing w:val="-5"/>
          <w:sz w:val="24"/>
          <w:szCs w:val="24"/>
          <w:lang w:eastAsia="zh-CN"/>
        </w:rPr>
        <w:t>浙江鸿浩科技有限公司是一家集研发、生产和销售阻燃剂等精细化学品的国家高新技术企业。公司成立于2011年06月，注册资金1000万元。厂区占地面积29000多平方米，目前，我公司有员工45名，具有大、中专以上学历的占30%，其中具有本科以上及中高级以上职称的工程技术人员9名。拥有年生产阻燃剂能力8000吨、催化剂1200吨等新型材料，拥有生产TCPP、TDCPP阻燃剂、T9催化剂等精细化学品生产线；各种常压、高压反应设备、精制设备、化工分离设备、流体输送设备几十余台；配备有供热、制冷和空分等专业的化学公用工程装置；具备完成各种有机、无机合成的实验装置和现代专业的实验室；拥有气相色谱仪、GC、HPLC、电子分析天平、燃烧测试设备、阻燃测试仪等精密检测仪器，同时又能进行常规的化学分析，建立了完善的研发平台和检测中心，拥有较完整的质量保证体系。</w:t>
      </w:r>
    </w:p>
    <w:p>
      <w:pPr>
        <w:pStyle w:val="2"/>
        <w:spacing w:before="143" w:line="360" w:lineRule="auto"/>
        <w:rPr>
          <w:rFonts w:hint="eastAsia" w:ascii="宋体" w:hAnsi="宋体" w:eastAsia="宋体" w:cs="宋体"/>
          <w:spacing w:val="-5"/>
          <w:sz w:val="24"/>
          <w:szCs w:val="24"/>
          <w:lang w:val="zh-CN" w:eastAsia="zh-CN" w:bidi="zh-CN"/>
        </w:rPr>
      </w:pPr>
      <w:bookmarkStart w:id="1" w:name="一、责任聚焦"/>
      <w:bookmarkEnd w:id="1"/>
      <w:bookmarkStart w:id="2" w:name="_Toc24531705"/>
      <w:r>
        <w:rPr>
          <w:rFonts w:hint="eastAsia" w:ascii="宋体" w:hAnsi="宋体" w:eastAsia="宋体" w:cs="宋体"/>
          <w:spacing w:val="-5"/>
          <w:sz w:val="24"/>
          <w:szCs w:val="24"/>
          <w:lang w:val="zh-CN" w:eastAsia="zh-CN" w:bidi="zh-CN"/>
        </w:rPr>
        <w:t>一、责任聚焦</w:t>
      </w:r>
      <w:bookmarkEnd w:id="2"/>
    </w:p>
    <w:p>
      <w:pPr>
        <w:pStyle w:val="4"/>
        <w:spacing w:line="360" w:lineRule="auto"/>
        <w:ind w:right="240" w:firstLine="48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一个企业最大的社会责任，就是要让公司健康发展，为社会创造更多价值。一家成功的公司会解决就业、缴税、员工福利、环境保护等问题，同时为政府纳税，政府税收又会通过多种方式完成相应的社会责任。</w:t>
      </w:r>
    </w:p>
    <w:p>
      <w:pPr>
        <w:pStyle w:val="13"/>
        <w:numPr>
          <w:ilvl w:val="1"/>
          <w:numId w:val="2"/>
        </w:numPr>
        <w:tabs>
          <w:tab w:val="left" w:pos="600"/>
        </w:tabs>
        <w:spacing w:before="3"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社会责任观</w:t>
      </w:r>
    </w:p>
    <w:p>
      <w:pPr>
        <w:pStyle w:val="13"/>
        <w:numPr>
          <w:ilvl w:val="0"/>
          <w:numId w:val="0"/>
        </w:numPr>
        <w:tabs>
          <w:tab w:val="left" w:pos="600"/>
        </w:tabs>
        <w:spacing w:before="3" w:line="360" w:lineRule="auto"/>
        <w:ind w:left="120" w:leftChars="0"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随着全球化经济的不断发展，可持续发展的理念已经成为许多国际型企业发展战略的核心。支持社会公益事业，倡导社会环境的可持续发展，做负社会责任的企业公民，已成为企业公共关系的重要主题。在企业发展的过程中，我们逐渐认识到，公共关系策略不再是简单地运用产品进行促销，基于传统营销传播观念的公共关系已经远远不能适应时代潮流以及公众对环保的需要，取而代之的应该是企业对社会责任的承诺与行动，它们不但应该融入企业的发展战略，而且应成为公共关系传播的出发点和着眼点。于是我们始终把“做负责任的企业”视为企业经营的长远战略，视为企业发展战略的精髓，视为企业文化的核心基石。</w:t>
      </w:r>
    </w:p>
    <w:p>
      <w:pPr>
        <w:pStyle w:val="4"/>
        <w:spacing w:before="7" w:line="360" w:lineRule="auto"/>
        <w:ind w:left="119" w:right="238" w:firstLine="48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企业社会责任不是口号，我们创立之初就确定我们是一个价值观公司，没有历史，社会责任是无根的；没有对未来的承诺，社会责任是短命的。多年来，公司坚持以“集约、创新、协作、共享，面向世界！”作为企业使命，以“追求创新无止境，奋斗无止境，发展无止境！”作为公司</w:t>
      </w:r>
      <w:r>
        <w:rPr>
          <w:rFonts w:hint="eastAsia" w:ascii="宋体" w:hAnsi="宋体" w:eastAsia="宋体" w:cs="宋体"/>
          <w:spacing w:val="-5"/>
          <w:sz w:val="24"/>
          <w:szCs w:val="24"/>
          <w:lang w:val="en-US" w:eastAsia="zh-CN" w:bidi="zh-CN"/>
        </w:rPr>
        <w:t>愿景</w:t>
      </w:r>
      <w:r>
        <w:rPr>
          <w:rFonts w:hint="eastAsia" w:ascii="宋体" w:hAnsi="宋体" w:eastAsia="宋体" w:cs="宋体"/>
          <w:spacing w:val="-5"/>
          <w:sz w:val="24"/>
          <w:szCs w:val="24"/>
          <w:lang w:val="zh-CN" w:eastAsia="zh-CN" w:bidi="zh-CN"/>
        </w:rPr>
        <w:t>，以“创新、责任、求实、品牌”为</w:t>
      </w:r>
      <w:r>
        <w:rPr>
          <w:rFonts w:hint="eastAsia" w:ascii="宋体" w:hAnsi="宋体" w:eastAsia="宋体" w:cs="宋体"/>
          <w:spacing w:val="-5"/>
          <w:sz w:val="24"/>
          <w:szCs w:val="24"/>
          <w:lang w:val="en-US" w:eastAsia="zh-CN" w:bidi="zh-CN"/>
        </w:rPr>
        <w:t>公司核心价值观</w:t>
      </w:r>
      <w:r>
        <w:rPr>
          <w:rFonts w:hint="eastAsia" w:ascii="宋体" w:hAnsi="宋体" w:eastAsia="宋体" w:cs="宋体"/>
          <w:spacing w:val="-5"/>
          <w:sz w:val="24"/>
          <w:szCs w:val="24"/>
          <w:lang w:val="zh-CN" w:eastAsia="zh-CN" w:bidi="zh-CN"/>
        </w:rPr>
        <w:t>，在履行企业社会责任中做了大量工作。</w:t>
      </w:r>
    </w:p>
    <w:p>
      <w:pPr>
        <w:pStyle w:val="13"/>
        <w:numPr>
          <w:ilvl w:val="1"/>
          <w:numId w:val="2"/>
        </w:numPr>
        <w:tabs>
          <w:tab w:val="left" w:pos="600"/>
        </w:tabs>
        <w:spacing w:line="360" w:lineRule="auto"/>
        <w:ind w:hanging="481"/>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利益相关方</w:t>
      </w:r>
    </w:p>
    <w:p>
      <w:pPr>
        <w:pStyle w:val="13"/>
        <w:numPr>
          <w:ilvl w:val="0"/>
          <w:numId w:val="0"/>
        </w:numPr>
        <w:tabs>
          <w:tab w:val="left" w:pos="600"/>
        </w:tabs>
        <w:spacing w:line="360" w:lineRule="auto"/>
        <w:ind w:left="119" w:leftChars="0"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企业所有的利益相关者的利益都是通过企业共同愿景的实现来达成的。没有共同的愿景，缺乏共同的信念，就没有利益相关的前提。所以,认同共同的企业愿景和价值观，是建设和完善企业与利益方关系管理体系的前提和基础。</w:t>
      </w:r>
    </w:p>
    <w:p>
      <w:pPr>
        <w:pStyle w:val="13"/>
        <w:numPr>
          <w:ilvl w:val="0"/>
          <w:numId w:val="0"/>
        </w:numPr>
        <w:tabs>
          <w:tab w:val="left" w:pos="600"/>
        </w:tabs>
        <w:spacing w:line="360" w:lineRule="auto"/>
        <w:ind w:left="119" w:leftChars="0" w:firstLine="460" w:firstLineChars="200"/>
        <w:rPr>
          <w:rFonts w:hint="eastAsia" w:ascii="宋体" w:hAnsi="宋体" w:eastAsia="宋体" w:cs="宋体"/>
          <w:spacing w:val="-5"/>
          <w:sz w:val="24"/>
          <w:szCs w:val="24"/>
          <w:lang w:val="zh-CN" w:eastAsia="zh-CN" w:bidi="zh-CN"/>
        </w:rPr>
      </w:pPr>
    </w:p>
    <w:p>
      <w:pPr>
        <w:pStyle w:val="13"/>
        <w:numPr>
          <w:ilvl w:val="0"/>
          <w:numId w:val="0"/>
        </w:numPr>
        <w:tabs>
          <w:tab w:val="left" w:pos="600"/>
        </w:tabs>
        <w:spacing w:line="360" w:lineRule="auto"/>
        <w:ind w:left="119" w:leftChars="0" w:firstLine="460" w:firstLineChars="200"/>
        <w:rPr>
          <w:rFonts w:hint="eastAsia" w:ascii="宋体" w:hAnsi="宋体" w:eastAsia="宋体" w:cs="宋体"/>
          <w:spacing w:val="-5"/>
          <w:sz w:val="24"/>
          <w:szCs w:val="24"/>
          <w:lang w:val="zh-CN" w:eastAsia="zh-CN" w:bidi="zh-CN"/>
        </w:rPr>
      </w:pPr>
    </w:p>
    <w:p>
      <w:pPr>
        <w:pStyle w:val="13"/>
        <w:numPr>
          <w:ilvl w:val="0"/>
          <w:numId w:val="0"/>
        </w:numPr>
        <w:tabs>
          <w:tab w:val="left" w:pos="600"/>
        </w:tabs>
        <w:spacing w:line="360" w:lineRule="auto"/>
        <w:ind w:left="119" w:leftChars="0" w:firstLine="460" w:firstLineChars="200"/>
        <w:rPr>
          <w:rFonts w:hint="eastAsia" w:ascii="宋体" w:hAnsi="宋体" w:eastAsia="宋体" w:cs="宋体"/>
          <w:spacing w:val="-5"/>
          <w:sz w:val="24"/>
          <w:szCs w:val="24"/>
          <w:lang w:val="zh-CN" w:eastAsia="zh-CN" w:bidi="zh-CN"/>
        </w:rPr>
      </w:pPr>
    </w:p>
    <w:p>
      <w:pPr>
        <w:pStyle w:val="13"/>
        <w:numPr>
          <w:ilvl w:val="0"/>
          <w:numId w:val="0"/>
        </w:numPr>
        <w:tabs>
          <w:tab w:val="left" w:pos="600"/>
        </w:tabs>
        <w:spacing w:line="360" w:lineRule="auto"/>
        <w:ind w:left="119" w:leftChars="0" w:firstLine="460" w:firstLineChars="200"/>
        <w:rPr>
          <w:rFonts w:hint="eastAsia" w:ascii="宋体" w:hAnsi="宋体" w:eastAsia="宋体" w:cs="宋体"/>
          <w:spacing w:val="-5"/>
          <w:sz w:val="24"/>
          <w:szCs w:val="24"/>
          <w:lang w:val="zh-CN" w:eastAsia="zh-CN" w:bidi="zh-CN"/>
        </w:rPr>
      </w:pPr>
    </w:p>
    <w:p>
      <w:pPr>
        <w:pStyle w:val="13"/>
        <w:numPr>
          <w:ilvl w:val="0"/>
          <w:numId w:val="0"/>
        </w:numPr>
        <w:tabs>
          <w:tab w:val="left" w:pos="600"/>
        </w:tabs>
        <w:spacing w:line="360" w:lineRule="auto"/>
        <w:ind w:left="119" w:leftChars="0" w:firstLine="460" w:firstLineChars="200"/>
        <w:rPr>
          <w:rFonts w:hint="eastAsia" w:ascii="宋体" w:hAnsi="宋体" w:eastAsia="宋体" w:cs="宋体"/>
          <w:spacing w:val="-5"/>
          <w:sz w:val="24"/>
          <w:szCs w:val="24"/>
          <w:lang w:val="zh-CN" w:eastAsia="zh-CN" w:bidi="zh-CN"/>
        </w:rPr>
      </w:pPr>
    </w:p>
    <w:p>
      <w:pPr>
        <w:pStyle w:val="13"/>
        <w:numPr>
          <w:ilvl w:val="0"/>
          <w:numId w:val="0"/>
        </w:numPr>
        <w:tabs>
          <w:tab w:val="left" w:pos="600"/>
        </w:tabs>
        <w:spacing w:line="360" w:lineRule="auto"/>
        <w:ind w:left="119" w:leftChars="0" w:firstLine="460" w:firstLineChars="200"/>
        <w:rPr>
          <w:rFonts w:hint="eastAsia" w:ascii="宋体" w:hAnsi="宋体" w:eastAsia="宋体" w:cs="宋体"/>
          <w:spacing w:val="-5"/>
          <w:sz w:val="24"/>
          <w:szCs w:val="24"/>
          <w:lang w:val="zh-CN" w:eastAsia="zh-CN" w:bidi="zh-CN"/>
        </w:rPr>
      </w:pPr>
    </w:p>
    <w:p>
      <w:pPr>
        <w:pStyle w:val="13"/>
        <w:numPr>
          <w:ilvl w:val="0"/>
          <w:numId w:val="0"/>
        </w:numPr>
        <w:tabs>
          <w:tab w:val="left" w:pos="600"/>
        </w:tabs>
        <w:spacing w:line="360" w:lineRule="auto"/>
        <w:ind w:left="119" w:leftChars="0" w:firstLine="460" w:firstLineChars="200"/>
        <w:rPr>
          <w:rFonts w:hint="eastAsia" w:ascii="宋体" w:hAnsi="宋体" w:eastAsia="宋体" w:cs="宋体"/>
          <w:spacing w:val="-5"/>
          <w:sz w:val="24"/>
          <w:szCs w:val="24"/>
          <w:lang w:val="zh-CN" w:eastAsia="zh-CN" w:bidi="zh-CN"/>
        </w:rPr>
      </w:pPr>
    </w:p>
    <w:p>
      <w:pPr>
        <w:spacing w:line="360" w:lineRule="auto"/>
        <w:jc w:val="both"/>
        <w:rPr>
          <w:rFonts w:hint="eastAsia" w:ascii="宋体" w:hAnsi="宋体" w:eastAsia="宋体" w:cs="宋体"/>
          <w:spacing w:val="-5"/>
          <w:sz w:val="24"/>
          <w:szCs w:val="24"/>
          <w:lang w:val="zh-CN" w:eastAsia="zh-CN" w:bidi="zh-CN"/>
        </w:rPr>
        <w:sectPr>
          <w:pgSz w:w="11910" w:h="16840"/>
          <w:pgMar w:top="1420" w:right="1440" w:bottom="1380" w:left="1680" w:header="877" w:footer="1197" w:gutter="0"/>
          <w:cols w:space="720" w:num="1"/>
        </w:sectPr>
      </w:pPr>
    </w:p>
    <w:tbl>
      <w:tblPr>
        <w:tblStyle w:val="9"/>
        <w:tblW w:w="837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0"/>
        <w:gridCol w:w="63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1980" w:type="dxa"/>
          </w:tcPr>
          <w:p>
            <w:pPr>
              <w:pStyle w:val="14"/>
              <w:spacing w:line="240" w:lineRule="auto"/>
              <w:ind w:left="434"/>
              <w:rPr>
                <w:rFonts w:hint="default" w:ascii="宋体" w:hAnsi="宋体" w:eastAsia="宋体" w:cs="宋体"/>
                <w:spacing w:val="-5"/>
                <w:sz w:val="24"/>
                <w:szCs w:val="24"/>
                <w:lang w:val="en-US" w:eastAsia="zh-CN" w:bidi="zh-CN"/>
              </w:rPr>
            </w:pPr>
            <w:r>
              <w:rPr>
                <w:rFonts w:hint="eastAsia" w:cs="宋体"/>
                <w:spacing w:val="-5"/>
                <w:sz w:val="24"/>
                <w:szCs w:val="24"/>
                <w:lang w:val="en-US" w:eastAsia="zh-CN" w:bidi="zh-CN"/>
              </w:rPr>
              <w:t>利益相关方</w:t>
            </w:r>
          </w:p>
        </w:tc>
        <w:tc>
          <w:tcPr>
            <w:tcW w:w="6396" w:type="dxa"/>
          </w:tcPr>
          <w:p>
            <w:pPr>
              <w:pStyle w:val="14"/>
              <w:spacing w:line="240" w:lineRule="auto"/>
              <w:ind w:right="31"/>
              <w:rPr>
                <w:rFonts w:hint="default" w:ascii="宋体" w:hAnsi="宋体" w:eastAsia="宋体" w:cs="宋体"/>
                <w:spacing w:val="-5"/>
                <w:sz w:val="24"/>
                <w:szCs w:val="24"/>
                <w:lang w:val="en-US" w:eastAsia="zh-CN" w:bidi="zh-CN"/>
              </w:rPr>
            </w:pPr>
            <w:r>
              <w:rPr>
                <w:rFonts w:hint="eastAsia" w:cs="宋体"/>
                <w:spacing w:val="-5"/>
                <w:sz w:val="24"/>
                <w:szCs w:val="24"/>
                <w:lang w:val="en-US" w:eastAsia="zh-CN" w:bidi="zh-CN"/>
              </w:rPr>
              <w:t>责任与举措</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9" w:hRule="atLeast"/>
          <w:jc w:val="center"/>
        </w:trPr>
        <w:tc>
          <w:tcPr>
            <w:tcW w:w="1980" w:type="dxa"/>
          </w:tcPr>
          <w:p>
            <w:pPr>
              <w:pStyle w:val="14"/>
              <w:spacing w:line="240" w:lineRule="auto"/>
              <w:ind w:left="434"/>
              <w:rPr>
                <w:rFonts w:hint="default" w:ascii="宋体" w:hAnsi="宋体" w:eastAsia="宋体" w:cs="宋体"/>
                <w:spacing w:val="-5"/>
                <w:sz w:val="24"/>
                <w:szCs w:val="24"/>
                <w:lang w:val="en-US" w:eastAsia="zh-CN" w:bidi="zh-CN"/>
              </w:rPr>
            </w:pPr>
            <w:r>
              <w:rPr>
                <w:rFonts w:hint="eastAsia" w:cs="宋体"/>
                <w:spacing w:val="-5"/>
                <w:sz w:val="24"/>
                <w:szCs w:val="24"/>
                <w:lang w:val="en-US" w:eastAsia="zh-CN" w:bidi="zh-CN"/>
              </w:rPr>
              <w:t>股东与投资者</w:t>
            </w:r>
          </w:p>
        </w:tc>
        <w:tc>
          <w:tcPr>
            <w:tcW w:w="6396" w:type="dxa"/>
          </w:tcPr>
          <w:p>
            <w:pPr>
              <w:pStyle w:val="14"/>
              <w:spacing w:line="240" w:lineRule="auto"/>
              <w:ind w:right="31"/>
              <w:rPr>
                <w:rFonts w:hint="default" w:ascii="宋体" w:hAnsi="宋体" w:eastAsia="宋体" w:cs="宋体"/>
                <w:spacing w:val="-5"/>
                <w:sz w:val="24"/>
                <w:szCs w:val="24"/>
                <w:lang w:val="en-US" w:eastAsia="zh-CN" w:bidi="zh-CN"/>
              </w:rPr>
            </w:pPr>
            <w:r>
              <w:rPr>
                <w:rFonts w:hint="eastAsia" w:cs="宋体"/>
                <w:spacing w:val="-5"/>
                <w:sz w:val="24"/>
                <w:szCs w:val="24"/>
                <w:lang w:val="en-US" w:eastAsia="zh-CN" w:bidi="zh-CN"/>
              </w:rPr>
              <w:t>准确及时披露经营状况和重大事项信息，提供合理投资回报，遵循责任经营和责任投资的基本原则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79" w:hRule="atLeast"/>
          <w:jc w:val="center"/>
        </w:trPr>
        <w:tc>
          <w:tcPr>
            <w:tcW w:w="1980" w:type="dxa"/>
          </w:tcPr>
          <w:p>
            <w:pPr>
              <w:pStyle w:val="14"/>
              <w:spacing w:line="240" w:lineRule="auto"/>
              <w:ind w:left="434"/>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客 户</w:t>
            </w:r>
          </w:p>
        </w:tc>
        <w:tc>
          <w:tcPr>
            <w:tcW w:w="6396" w:type="dxa"/>
          </w:tcPr>
          <w:p>
            <w:pPr>
              <w:pStyle w:val="14"/>
              <w:spacing w:line="240" w:lineRule="auto"/>
              <w:ind w:right="31"/>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提供优质的产品和服务；产品具有安全性和便利性；持续提升客户满意度；及时合规的信息沟通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7" w:hRule="atLeast"/>
          <w:jc w:val="center"/>
        </w:trPr>
        <w:tc>
          <w:tcPr>
            <w:tcW w:w="1980" w:type="dxa"/>
          </w:tcPr>
          <w:p>
            <w:pPr>
              <w:pStyle w:val="14"/>
              <w:spacing w:before="155" w:line="240" w:lineRule="auto"/>
              <w:ind w:left="434"/>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员 工</w:t>
            </w:r>
          </w:p>
        </w:tc>
        <w:tc>
          <w:tcPr>
            <w:tcW w:w="6396" w:type="dxa"/>
          </w:tcPr>
          <w:p>
            <w:pPr>
              <w:pStyle w:val="14"/>
              <w:spacing w:before="155" w:line="240" w:lineRule="auto"/>
              <w:ind w:right="34"/>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维护员工合法权益；创造良好的工作环境；给予合理的待遇提供教育和培训，为员工创造发展空间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17" w:hRule="atLeast"/>
          <w:jc w:val="center"/>
        </w:trPr>
        <w:tc>
          <w:tcPr>
            <w:tcW w:w="1980" w:type="dxa"/>
          </w:tcPr>
          <w:p>
            <w:pPr>
              <w:pStyle w:val="14"/>
              <w:spacing w:before="155" w:line="240" w:lineRule="auto"/>
              <w:ind w:left="434"/>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合作伙伴</w:t>
            </w:r>
          </w:p>
        </w:tc>
        <w:tc>
          <w:tcPr>
            <w:tcW w:w="6396" w:type="dxa"/>
          </w:tcPr>
          <w:p>
            <w:pPr>
              <w:pStyle w:val="14"/>
              <w:spacing w:before="155" w:line="240" w:lineRule="auto"/>
              <w:ind w:right="31"/>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实行公平采购；协助履行社会责任；建立相互尊重的合作关系；坚持诚实守信，维护企业的信誉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7" w:hRule="atLeast"/>
          <w:jc w:val="center"/>
        </w:trPr>
        <w:tc>
          <w:tcPr>
            <w:tcW w:w="1980" w:type="dxa"/>
          </w:tcPr>
          <w:p>
            <w:pPr>
              <w:pStyle w:val="14"/>
              <w:spacing w:before="158" w:line="240" w:lineRule="auto"/>
              <w:ind w:left="434"/>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政 府</w:t>
            </w:r>
          </w:p>
        </w:tc>
        <w:tc>
          <w:tcPr>
            <w:tcW w:w="6396" w:type="dxa"/>
          </w:tcPr>
          <w:p>
            <w:pPr>
              <w:pStyle w:val="14"/>
              <w:spacing w:before="158" w:line="24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依法纳税，提供就业机会，带动地方经济发展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jc w:val="center"/>
        </w:trPr>
        <w:tc>
          <w:tcPr>
            <w:tcW w:w="1980" w:type="dxa"/>
          </w:tcPr>
          <w:p>
            <w:pPr>
              <w:pStyle w:val="14"/>
              <w:spacing w:line="240" w:lineRule="auto"/>
              <w:ind w:left="434"/>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自然环境</w:t>
            </w:r>
          </w:p>
        </w:tc>
        <w:tc>
          <w:tcPr>
            <w:tcW w:w="6396" w:type="dxa"/>
          </w:tcPr>
          <w:p>
            <w:pPr>
              <w:pStyle w:val="14"/>
              <w:spacing w:line="240" w:lineRule="auto"/>
              <w:ind w:right="31"/>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推行绿色生产，实践环保经营，倡导节能减排，开展水资源保护，改善自然生态系统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68" w:hRule="atLeast"/>
          <w:jc w:val="center"/>
        </w:trPr>
        <w:tc>
          <w:tcPr>
            <w:tcW w:w="1980" w:type="dxa"/>
          </w:tcPr>
          <w:p>
            <w:pPr>
              <w:pStyle w:val="14"/>
              <w:spacing w:line="240" w:lineRule="auto"/>
              <w:ind w:left="434"/>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社区居民</w:t>
            </w:r>
          </w:p>
        </w:tc>
        <w:tc>
          <w:tcPr>
            <w:tcW w:w="6396" w:type="dxa"/>
          </w:tcPr>
          <w:p>
            <w:pPr>
              <w:pStyle w:val="14"/>
              <w:spacing w:line="24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参与社会公益活动，为社会可持续、和谐发展做贡献</w:t>
            </w:r>
          </w:p>
        </w:tc>
      </w:tr>
    </w:tbl>
    <w:p>
      <w:pPr>
        <w:pStyle w:val="4"/>
        <w:spacing w:before="10" w:line="360" w:lineRule="auto"/>
        <w:ind w:left="0"/>
        <w:rPr>
          <w:rFonts w:hint="eastAsia" w:ascii="宋体" w:hAnsi="宋体" w:eastAsia="宋体" w:cs="宋体"/>
          <w:spacing w:val="-5"/>
          <w:sz w:val="24"/>
          <w:szCs w:val="24"/>
          <w:lang w:val="zh-CN" w:eastAsia="zh-CN" w:bidi="zh-CN"/>
        </w:rPr>
      </w:pPr>
    </w:p>
    <w:p>
      <w:pPr>
        <w:pStyle w:val="13"/>
        <w:numPr>
          <w:ilvl w:val="1"/>
          <w:numId w:val="2"/>
        </w:numPr>
        <w:tabs>
          <w:tab w:val="left" w:pos="600"/>
        </w:tabs>
        <w:spacing w:before="66"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责任体系</w:t>
      </w:r>
    </w:p>
    <w:p>
      <w:pPr>
        <w:pStyle w:val="13"/>
        <w:numPr>
          <w:ilvl w:val="0"/>
          <w:numId w:val="0"/>
        </w:numPr>
        <w:tabs>
          <w:tab w:val="left" w:pos="600"/>
        </w:tabs>
        <w:spacing w:before="66" w:line="360" w:lineRule="auto"/>
        <w:ind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对利益相关者的法律责任，这一责任主要包括企业根据《中华人民共和国公司法》、 《中华人民共和国合同法》等法律法规，对出资人、债权人、供应商、合作商、客户、社区及其它社会团体等所有利益相关者必须遵守各类合同，按照法律规定进行利益分配，为社会提供最基本的产品和服务质量保证，不损害企业所在社区的合法权益，不影响其它社会团体的利益等内容。</w:t>
      </w:r>
    </w:p>
    <w:p>
      <w:pPr>
        <w:pStyle w:val="4"/>
        <w:spacing w:before="7" w:line="360" w:lineRule="auto"/>
        <w:ind w:left="0" w:leftChars="0" w:right="119"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对环境的法律责任，这一责任主要包括企业根据《中华人民共和国环境保护法》等法律法规，在生产经营活动中必须履行资源和能耗的节约标准，必须达到 国家强制规定的污染排放标准，对不能达标的项目必须加强技术改造和污染治理， 努力达到国家规定的各项环保标准等内容。</w:t>
      </w:r>
    </w:p>
    <w:p>
      <w:pPr>
        <w:pStyle w:val="4"/>
        <w:spacing w:before="2" w:line="360" w:lineRule="auto"/>
        <w:ind w:left="0" w:leftChars="0" w:right="359" w:firstLine="460" w:firstLineChars="20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对员工的法律责任，这一责任主要包括企业根据《中华人民共和国劳动合同法》等法律法规，必须为员工生产提供安全保障，必须按照国家政策保证员工的各项福利待遇，必须为员工办理各种国家所规定的生育、失业、养老、疾病等基本社会保险等内容。</w:t>
      </w:r>
    </w:p>
    <w:p>
      <w:pPr>
        <w:pStyle w:val="4"/>
        <w:spacing w:before="2" w:line="360" w:lineRule="auto"/>
        <w:ind w:left="0" w:leftChars="0" w:right="359" w:firstLine="460" w:firstLineChars="20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对社会的法律责任，这一责任主要包括企业根据《中华人民共和国企业所得税法》、《中华人民共和国增值税暂行条例》等法律法规，必须完成所得税、增值税等各种利税上缴等责任。</w:t>
      </w:r>
    </w:p>
    <w:p>
      <w:pPr>
        <w:pStyle w:val="2"/>
        <w:numPr>
          <w:ilvl w:val="0"/>
          <w:numId w:val="3"/>
        </w:numPr>
        <w:spacing w:line="360" w:lineRule="auto"/>
        <w:rPr>
          <w:rFonts w:hint="eastAsia" w:ascii="宋体" w:hAnsi="宋体" w:eastAsia="宋体" w:cs="宋体"/>
          <w:spacing w:val="-5"/>
          <w:sz w:val="24"/>
          <w:szCs w:val="24"/>
          <w:lang w:val="zh-CN" w:eastAsia="zh-CN" w:bidi="zh-CN"/>
        </w:rPr>
      </w:pPr>
      <w:bookmarkStart w:id="3" w:name="二、战略与管理"/>
      <w:bookmarkEnd w:id="3"/>
      <w:bookmarkStart w:id="4" w:name="_Toc24531706"/>
      <w:r>
        <w:rPr>
          <w:rFonts w:hint="eastAsia" w:ascii="宋体" w:hAnsi="宋体" w:eastAsia="宋体" w:cs="宋体"/>
          <w:spacing w:val="-5"/>
          <w:sz w:val="24"/>
          <w:szCs w:val="24"/>
          <w:lang w:val="zh-CN" w:eastAsia="zh-CN" w:bidi="zh-CN"/>
        </w:rPr>
        <w:t>战略与管理</w:t>
      </w:r>
      <w:bookmarkEnd w:id="4"/>
    </w:p>
    <w:p>
      <w:pPr>
        <w:pStyle w:val="2"/>
        <w:numPr>
          <w:ilvl w:val="0"/>
          <w:numId w:val="0"/>
        </w:numPr>
        <w:spacing w:line="360" w:lineRule="auto"/>
        <w:ind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a）构建独具特色的企业文化并向相关方沟通宣贯</w:t>
      </w:r>
    </w:p>
    <w:p>
      <w:pPr>
        <w:pStyle w:val="2"/>
        <w:numPr>
          <w:ilvl w:val="0"/>
          <w:numId w:val="0"/>
        </w:numPr>
        <w:spacing w:line="360" w:lineRule="auto"/>
        <w:ind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企业文化是企业的思维方式和行事准则，是企业个性化的体现。它是植根于企业内部的精神载体，可以促进组织的管理发展，增强企业凝聚力，是一个企业的旗帜、灵魂和方向。从</w:t>
      </w:r>
      <w:r>
        <w:rPr>
          <w:rFonts w:hint="eastAsia" w:cs="宋体"/>
          <w:spacing w:val="-5"/>
          <w:sz w:val="24"/>
          <w:szCs w:val="24"/>
          <w:lang w:val="en-US" w:eastAsia="zh-CN" w:bidi="zh-CN"/>
        </w:rPr>
        <w:t>2011</w:t>
      </w:r>
      <w:r>
        <w:rPr>
          <w:rFonts w:hint="eastAsia" w:ascii="宋体" w:hAnsi="宋体" w:eastAsia="宋体" w:cs="宋体"/>
          <w:spacing w:val="-5"/>
          <w:sz w:val="24"/>
          <w:szCs w:val="24"/>
          <w:lang w:val="zh-CN" w:eastAsia="zh-CN" w:bidi="zh-CN"/>
        </w:rPr>
        <w:t>年成立之初到现在，随着企业的创立、成长与发展，</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逐步形成了其独具特色的企业文化体系。</w:t>
      </w:r>
    </w:p>
    <w:p>
      <w:pPr>
        <w:pStyle w:val="2"/>
        <w:numPr>
          <w:ilvl w:val="0"/>
          <w:numId w:val="4"/>
        </w:numPr>
        <w:spacing w:line="360" w:lineRule="auto"/>
        <w:ind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确立以使命、愿景和价值观为和核心的文化</w:t>
      </w:r>
    </w:p>
    <w:p>
      <w:pPr>
        <w:pStyle w:val="2"/>
        <w:numPr>
          <w:ilvl w:val="0"/>
          <w:numId w:val="0"/>
        </w:numPr>
        <w:spacing w:line="360" w:lineRule="auto"/>
        <w:ind w:firstLine="460" w:firstLineChars="200"/>
        <w:rPr>
          <w:rFonts w:hint="eastAsia" w:ascii="宋体" w:hAnsi="宋体" w:eastAsia="宋体" w:cs="宋体"/>
          <w:spacing w:val="-5"/>
          <w:sz w:val="24"/>
          <w:szCs w:val="24"/>
          <w:lang w:val="zh-CN" w:eastAsia="zh-CN" w:bidi="zh-CN"/>
        </w:rPr>
      </w:pP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自</w:t>
      </w:r>
      <w:r>
        <w:rPr>
          <w:rFonts w:hint="eastAsia" w:cs="宋体"/>
          <w:spacing w:val="-5"/>
          <w:sz w:val="24"/>
          <w:szCs w:val="24"/>
          <w:lang w:val="en-US" w:eastAsia="zh-CN" w:bidi="zh-CN"/>
        </w:rPr>
        <w:t>2011</w:t>
      </w:r>
      <w:r>
        <w:rPr>
          <w:rFonts w:hint="eastAsia" w:ascii="宋体" w:hAnsi="宋体" w:eastAsia="宋体" w:cs="宋体"/>
          <w:spacing w:val="-5"/>
          <w:sz w:val="24"/>
          <w:szCs w:val="24"/>
          <w:lang w:val="zh-CN" w:eastAsia="zh-CN" w:bidi="zh-CN"/>
        </w:rPr>
        <w:t>年创立以来，基于行业特点及企业发展逐步凝练了核心价值观，并随着公司的发展而不断调整和提升，最终提炼形成了公司的核心价值理念体系。</w:t>
      </w:r>
    </w:p>
    <w:tbl>
      <w:tblPr>
        <w:tblStyle w:val="9"/>
        <w:tblW w:w="89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8"/>
        <w:gridCol w:w="72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98" w:type="dxa"/>
            <w:shd w:val="clear" w:color="auto" w:fill="4472C4"/>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文化构成</w:t>
            </w:r>
          </w:p>
        </w:tc>
        <w:tc>
          <w:tcPr>
            <w:tcW w:w="7208" w:type="dxa"/>
            <w:shd w:val="clear" w:color="auto" w:fill="4472C4"/>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表述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98" w:type="dxa"/>
            <w:shd w:val="clear" w:color="auto" w:fill="auto"/>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使命</w:t>
            </w:r>
          </w:p>
        </w:tc>
        <w:tc>
          <w:tcPr>
            <w:tcW w:w="7208" w:type="dxa"/>
            <w:shd w:val="clear" w:color="auto" w:fill="auto"/>
            <w:vAlign w:val="center"/>
          </w:tcPr>
          <w:p>
            <w:pPr>
              <w:pStyle w:val="4"/>
              <w:spacing w:line="360" w:lineRule="auto"/>
              <w:ind w:left="0" w:leftChars="0" w:firstLine="0" w:firstLineChars="0"/>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en-US" w:eastAsia="zh-CN" w:bidi="zh-CN"/>
              </w:rPr>
              <w:t>集约、创新、协作、共享，面向世界！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 w:hRule="atLeast"/>
          <w:jc w:val="center"/>
        </w:trPr>
        <w:tc>
          <w:tcPr>
            <w:tcW w:w="1698" w:type="dxa"/>
            <w:shd w:val="clear" w:color="auto" w:fill="auto"/>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愿景</w:t>
            </w:r>
          </w:p>
        </w:tc>
        <w:tc>
          <w:tcPr>
            <w:tcW w:w="7208" w:type="dxa"/>
            <w:shd w:val="clear" w:color="auto" w:fill="auto"/>
            <w:vAlign w:val="center"/>
          </w:tcPr>
          <w:p>
            <w:pPr>
              <w:pStyle w:val="4"/>
              <w:spacing w:line="360" w:lineRule="auto"/>
              <w:ind w:left="0" w:leftChars="0" w:firstLine="0" w:firstLineChars="0"/>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en-US" w:eastAsia="zh-CN" w:bidi="zh-CN"/>
              </w:rPr>
              <w:t>追求创新无止境，奋斗无止境，发展无止境！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jc w:val="center"/>
        </w:trPr>
        <w:tc>
          <w:tcPr>
            <w:tcW w:w="1698" w:type="dxa"/>
            <w:shd w:val="clear" w:color="auto" w:fill="auto"/>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价值观</w:t>
            </w:r>
          </w:p>
        </w:tc>
        <w:tc>
          <w:tcPr>
            <w:tcW w:w="7208" w:type="dxa"/>
            <w:shd w:val="clear" w:color="auto" w:fill="auto"/>
            <w:vAlign w:val="center"/>
          </w:tcPr>
          <w:p>
            <w:pPr>
              <w:spacing w:line="360" w:lineRule="auto"/>
              <w:jc w:val="center"/>
              <w:rPr>
                <w:rFonts w:hint="eastAsia" w:ascii="宋体" w:hAnsi="宋体" w:eastAsia="宋体" w:cs="宋体"/>
                <w:spacing w:val="-5"/>
                <w:sz w:val="24"/>
                <w:szCs w:val="24"/>
                <w:lang w:val="zh-CN" w:eastAsia="zh-CN" w:bidi="zh-CN"/>
              </w:rPr>
            </w:pPr>
            <w:bookmarkStart w:id="21" w:name="_GoBack"/>
            <w:r>
              <w:rPr>
                <w:rFonts w:hint="eastAsia" w:ascii="宋体" w:hAnsi="宋体" w:eastAsia="宋体" w:cs="宋体"/>
                <w:spacing w:val="-5"/>
                <w:sz w:val="24"/>
                <w:szCs w:val="24"/>
                <w:lang w:val="zh-CN" w:eastAsia="zh-CN" w:bidi="zh-CN"/>
              </w:rPr>
              <w:t>创新、责任、求实、品牌</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698" w:type="dxa"/>
            <w:shd w:val="clear" w:color="auto" w:fill="auto"/>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经营理念</w:t>
            </w:r>
          </w:p>
        </w:tc>
        <w:tc>
          <w:tcPr>
            <w:tcW w:w="7208" w:type="dxa"/>
            <w:shd w:val="clear" w:color="auto" w:fill="auto"/>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创新、专注、诚信、共赢</w:t>
            </w:r>
          </w:p>
        </w:tc>
      </w:tr>
    </w:tbl>
    <w:p>
      <w:pPr>
        <w:pStyle w:val="4"/>
        <w:spacing w:before="166" w:line="360" w:lineRule="auto"/>
        <w:ind w:right="359" w:firstLine="480"/>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图表</w:t>
      </w:r>
      <w:r>
        <w:rPr>
          <w:rFonts w:hint="eastAsia" w:ascii="宋体" w:hAnsi="宋体" w:eastAsia="宋体" w:cs="宋体"/>
          <w:spacing w:val="-5"/>
          <w:sz w:val="24"/>
          <w:szCs w:val="24"/>
          <w:lang w:val="en-US" w:eastAsia="zh-CN" w:bidi="zh-CN"/>
        </w:rPr>
        <w:t>2</w:t>
      </w:r>
      <w:r>
        <w:rPr>
          <w:rFonts w:hint="eastAsia" w:ascii="宋体" w:hAnsi="宋体" w:eastAsia="宋体" w:cs="宋体"/>
          <w:spacing w:val="-5"/>
          <w:sz w:val="24"/>
          <w:szCs w:val="24"/>
          <w:lang w:val="zh-CN" w:eastAsia="zh-CN" w:bidi="zh-CN"/>
        </w:rPr>
        <w:t>.1-</w:t>
      </w:r>
      <w:r>
        <w:rPr>
          <w:rFonts w:hint="eastAsia" w:ascii="宋体" w:hAnsi="宋体" w:eastAsia="宋体" w:cs="宋体"/>
          <w:spacing w:val="-5"/>
          <w:sz w:val="24"/>
          <w:szCs w:val="24"/>
          <w:lang w:val="en-US" w:eastAsia="zh-CN" w:bidi="zh-CN"/>
        </w:rPr>
        <w:t>2</w:t>
      </w:r>
      <w:r>
        <w:rPr>
          <w:rFonts w:hint="eastAsia" w:ascii="宋体" w:hAnsi="宋体" w:eastAsia="宋体" w:cs="宋体"/>
          <w:spacing w:val="-5"/>
          <w:sz w:val="24"/>
          <w:szCs w:val="24"/>
          <w:lang w:val="zh-CN" w:eastAsia="zh-CN" w:bidi="zh-CN"/>
        </w:rPr>
        <w:t>企业文化体系</w:t>
      </w:r>
      <w:bookmarkStart w:id="5" w:name="_Ref329948790"/>
    </w:p>
    <w:bookmarkEnd w:id="5"/>
    <w:p>
      <w:pPr>
        <w:pStyle w:val="4"/>
        <w:numPr>
          <w:ilvl w:val="0"/>
          <w:numId w:val="4"/>
        </w:numPr>
        <w:spacing w:before="166" w:line="360" w:lineRule="auto"/>
        <w:ind w:left="120" w:leftChars="0" w:right="359" w:firstLine="460" w:firstLineChars="20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企业文化理念的宣贯</w:t>
      </w:r>
    </w:p>
    <w:p>
      <w:pPr>
        <w:pStyle w:val="4"/>
        <w:numPr>
          <w:ilvl w:val="0"/>
          <w:numId w:val="0"/>
        </w:numPr>
        <w:spacing w:before="166" w:line="360" w:lineRule="auto"/>
        <w:ind w:leftChars="200" w:right="359" w:rightChars="0" w:firstLine="460" w:firstLineChars="20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公司总经理非常注重企业文化建设，他相信“文化是最顶层，包括团队的方向，追求持续经营，要做顶级供应商就必须打造好企业文化”。</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drawing>
          <wp:inline distT="0" distB="0" distL="114300" distR="114300">
            <wp:extent cx="4525645" cy="2484120"/>
            <wp:effectExtent l="0" t="0" r="0" b="5080"/>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6"/>
                    <a:stretch>
                      <a:fillRect/>
                    </a:stretch>
                  </pic:blipFill>
                  <pic:spPr>
                    <a:xfrm>
                      <a:off x="0" y="0"/>
                      <a:ext cx="4525645" cy="2484120"/>
                    </a:xfrm>
                    <a:prstGeom prst="rect">
                      <a:avLst/>
                    </a:prstGeom>
                    <a:noFill/>
                    <a:ln>
                      <a:noFill/>
                    </a:ln>
                  </pic:spPr>
                </pic:pic>
              </a:graphicData>
            </a:graphic>
          </wp:inline>
        </w:drawing>
      </w:r>
    </w:p>
    <w:p>
      <w:pPr>
        <w:pStyle w:val="4"/>
        <w:spacing w:before="166" w:line="360" w:lineRule="auto"/>
        <w:ind w:right="359" w:firstLine="480"/>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图表</w:t>
      </w:r>
      <w:r>
        <w:rPr>
          <w:rFonts w:hint="eastAsia" w:ascii="宋体" w:hAnsi="宋体" w:eastAsia="宋体" w:cs="宋体"/>
          <w:spacing w:val="-5"/>
          <w:sz w:val="24"/>
          <w:szCs w:val="24"/>
          <w:lang w:val="en-US" w:eastAsia="zh-CN" w:bidi="zh-CN"/>
        </w:rPr>
        <w:t>2</w:t>
      </w:r>
      <w:r>
        <w:rPr>
          <w:rFonts w:hint="eastAsia" w:ascii="宋体" w:hAnsi="宋体" w:eastAsia="宋体" w:cs="宋体"/>
          <w:spacing w:val="-5"/>
          <w:sz w:val="24"/>
          <w:szCs w:val="24"/>
          <w:lang w:val="zh-CN" w:eastAsia="zh-CN" w:bidi="zh-CN"/>
        </w:rPr>
        <w:t>.1-</w:t>
      </w:r>
      <w:r>
        <w:rPr>
          <w:rFonts w:hint="eastAsia" w:ascii="宋体" w:hAnsi="宋体" w:eastAsia="宋体" w:cs="宋体"/>
          <w:spacing w:val="-5"/>
          <w:sz w:val="24"/>
          <w:szCs w:val="24"/>
          <w:lang w:val="zh-CN" w:eastAsia="zh-CN" w:bidi="zh-CN"/>
        </w:rPr>
        <w:fldChar w:fldCharType="begin"/>
      </w:r>
      <w:r>
        <w:rPr>
          <w:rFonts w:hint="eastAsia" w:ascii="宋体" w:hAnsi="宋体" w:eastAsia="宋体" w:cs="宋体"/>
          <w:spacing w:val="-5"/>
          <w:sz w:val="24"/>
          <w:szCs w:val="24"/>
          <w:lang w:val="zh-CN" w:eastAsia="zh-CN" w:bidi="zh-CN"/>
        </w:rPr>
        <w:instrText xml:space="preserve"> SEQ 图表4.1- \* ARABIC </w:instrText>
      </w:r>
      <w:r>
        <w:rPr>
          <w:rFonts w:hint="eastAsia" w:ascii="宋体" w:hAnsi="宋体" w:eastAsia="宋体" w:cs="宋体"/>
          <w:spacing w:val="-5"/>
          <w:sz w:val="24"/>
          <w:szCs w:val="24"/>
          <w:lang w:val="zh-CN" w:eastAsia="zh-CN" w:bidi="zh-CN"/>
        </w:rPr>
        <w:fldChar w:fldCharType="separate"/>
      </w:r>
      <w:r>
        <w:rPr>
          <w:rFonts w:hint="eastAsia" w:ascii="宋体" w:hAnsi="宋体" w:eastAsia="宋体" w:cs="宋体"/>
          <w:spacing w:val="-5"/>
          <w:sz w:val="24"/>
          <w:szCs w:val="24"/>
          <w:lang w:val="zh-CN" w:eastAsia="zh-CN" w:bidi="zh-CN"/>
        </w:rPr>
        <w:t>2</w:t>
      </w:r>
      <w:r>
        <w:rPr>
          <w:rFonts w:hint="eastAsia" w:ascii="宋体" w:hAnsi="宋体" w:eastAsia="宋体" w:cs="宋体"/>
          <w:spacing w:val="-5"/>
          <w:sz w:val="24"/>
          <w:szCs w:val="24"/>
          <w:lang w:val="zh-CN" w:eastAsia="zh-CN" w:bidi="zh-CN"/>
        </w:rPr>
        <w:fldChar w:fldCharType="end"/>
      </w:r>
      <w:r>
        <w:rPr>
          <w:rFonts w:hint="eastAsia" w:ascii="宋体" w:hAnsi="宋体" w:eastAsia="宋体" w:cs="宋体"/>
          <w:spacing w:val="-5"/>
          <w:sz w:val="24"/>
          <w:szCs w:val="24"/>
          <w:lang w:val="zh-CN" w:eastAsia="zh-CN" w:bidi="zh-CN"/>
        </w:rPr>
        <w:t xml:space="preserve"> 公司多渠道企业文化传播</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总经理希望</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优秀的企业文化能培养更多的优秀人才，继而以优秀的人才团队推动企业的快速发展，使</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早日成为国际一流公司，早日达到既定目标，实现崇高理想。近年来，</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荣获“</w:t>
      </w:r>
      <w:r>
        <w:rPr>
          <w:rFonts w:hint="eastAsia" w:cs="宋体"/>
          <w:spacing w:val="-5"/>
          <w:sz w:val="24"/>
          <w:szCs w:val="24"/>
          <w:lang w:val="en-US" w:eastAsia="zh-CN" w:bidi="zh-CN"/>
        </w:rPr>
        <w:t>专精特新</w:t>
      </w:r>
      <w:r>
        <w:rPr>
          <w:rFonts w:hint="eastAsia" w:ascii="宋体" w:hAnsi="宋体" w:eastAsia="宋体" w:cs="宋体"/>
          <w:spacing w:val="-5"/>
          <w:sz w:val="24"/>
          <w:szCs w:val="24"/>
          <w:lang w:val="zh-CN" w:eastAsia="zh-CN" w:bidi="zh-CN"/>
        </w:rPr>
        <w:t>”、“</w:t>
      </w:r>
      <w:r>
        <w:rPr>
          <w:rFonts w:hint="eastAsia" w:cs="宋体"/>
          <w:spacing w:val="-5"/>
          <w:sz w:val="24"/>
          <w:szCs w:val="24"/>
          <w:lang w:val="en-US" w:eastAsia="zh-CN" w:bidi="zh-CN"/>
        </w:rPr>
        <w:t>国家高新技术企业</w:t>
      </w:r>
      <w:r>
        <w:rPr>
          <w:rFonts w:hint="eastAsia" w:ascii="宋体" w:hAnsi="宋体" w:eastAsia="宋体" w:cs="宋体"/>
          <w:spacing w:val="-5"/>
          <w:sz w:val="24"/>
          <w:szCs w:val="24"/>
          <w:lang w:val="zh-CN" w:eastAsia="zh-CN" w:bidi="zh-CN"/>
        </w:rPr>
        <w:t>”等系列荣誉。</w:t>
      </w:r>
    </w:p>
    <w:p>
      <w:pPr>
        <w:pStyle w:val="4"/>
        <w:spacing w:before="166" w:line="360" w:lineRule="auto"/>
        <w:ind w:right="359" w:firstLine="480"/>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图表</w:t>
      </w:r>
      <w:r>
        <w:rPr>
          <w:rFonts w:hint="eastAsia" w:ascii="宋体" w:hAnsi="宋体" w:eastAsia="宋体" w:cs="宋体"/>
          <w:spacing w:val="-5"/>
          <w:sz w:val="24"/>
          <w:szCs w:val="24"/>
          <w:lang w:val="en-US" w:eastAsia="zh-CN" w:bidi="zh-CN"/>
        </w:rPr>
        <w:t>2</w:t>
      </w:r>
      <w:r>
        <w:rPr>
          <w:rFonts w:hint="eastAsia" w:ascii="宋体" w:hAnsi="宋体" w:eastAsia="宋体" w:cs="宋体"/>
          <w:spacing w:val="-5"/>
          <w:sz w:val="24"/>
          <w:szCs w:val="24"/>
          <w:lang w:val="zh-CN" w:eastAsia="zh-CN" w:bidi="zh-CN"/>
        </w:rPr>
        <w:t>.1-</w:t>
      </w:r>
      <w:r>
        <w:rPr>
          <w:rFonts w:hint="eastAsia" w:ascii="宋体" w:hAnsi="宋体" w:eastAsia="宋体" w:cs="宋体"/>
          <w:spacing w:val="-5"/>
          <w:sz w:val="24"/>
          <w:szCs w:val="24"/>
          <w:lang w:val="zh-CN" w:eastAsia="zh-CN" w:bidi="zh-CN"/>
        </w:rPr>
        <w:fldChar w:fldCharType="begin"/>
      </w:r>
      <w:r>
        <w:rPr>
          <w:rFonts w:hint="eastAsia" w:ascii="宋体" w:hAnsi="宋体" w:eastAsia="宋体" w:cs="宋体"/>
          <w:spacing w:val="-5"/>
          <w:sz w:val="24"/>
          <w:szCs w:val="24"/>
          <w:lang w:val="zh-CN" w:eastAsia="zh-CN" w:bidi="zh-CN"/>
        </w:rPr>
        <w:instrText xml:space="preserve"> SEQ 图表4.1- \* ARABIC </w:instrText>
      </w:r>
      <w:r>
        <w:rPr>
          <w:rFonts w:hint="eastAsia" w:ascii="宋体" w:hAnsi="宋体" w:eastAsia="宋体" w:cs="宋体"/>
          <w:spacing w:val="-5"/>
          <w:sz w:val="24"/>
          <w:szCs w:val="24"/>
          <w:lang w:val="zh-CN" w:eastAsia="zh-CN" w:bidi="zh-CN"/>
        </w:rPr>
        <w:fldChar w:fldCharType="separate"/>
      </w:r>
      <w:r>
        <w:rPr>
          <w:rFonts w:hint="eastAsia" w:ascii="宋体" w:hAnsi="宋体" w:eastAsia="宋体" w:cs="宋体"/>
          <w:spacing w:val="-5"/>
          <w:sz w:val="24"/>
          <w:szCs w:val="24"/>
          <w:lang w:val="zh-CN" w:eastAsia="zh-CN" w:bidi="zh-CN"/>
        </w:rPr>
        <w:t>3</w:t>
      </w:r>
      <w:r>
        <w:rPr>
          <w:rFonts w:hint="eastAsia" w:ascii="宋体" w:hAnsi="宋体" w:eastAsia="宋体" w:cs="宋体"/>
          <w:spacing w:val="-5"/>
          <w:sz w:val="24"/>
          <w:szCs w:val="24"/>
          <w:lang w:val="zh-CN" w:eastAsia="zh-CN" w:bidi="zh-CN"/>
        </w:rPr>
        <w:fldChar w:fldCharType="end"/>
      </w:r>
      <w:r>
        <w:rPr>
          <w:rFonts w:hint="eastAsia" w:ascii="宋体" w:hAnsi="宋体" w:eastAsia="宋体" w:cs="宋体"/>
          <w:spacing w:val="-5"/>
          <w:sz w:val="24"/>
          <w:szCs w:val="24"/>
          <w:lang w:val="zh-CN" w:eastAsia="zh-CN" w:bidi="zh-CN"/>
        </w:rPr>
        <w:t xml:space="preserve"> 企业文化宣传一览表</w:t>
      </w:r>
    </w:p>
    <w:tbl>
      <w:tblPr>
        <w:tblStyle w:val="9"/>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8"/>
        <w:gridCol w:w="524"/>
        <w:gridCol w:w="1910"/>
        <w:gridCol w:w="2510"/>
        <w:gridCol w:w="192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8" w:hRule="atLeast"/>
          <w:tblHeader/>
          <w:jc w:val="center"/>
        </w:trPr>
        <w:tc>
          <w:tcPr>
            <w:tcW w:w="962" w:type="dxa"/>
            <w:gridSpan w:val="2"/>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对象</w:t>
            </w:r>
          </w:p>
        </w:tc>
        <w:tc>
          <w:tcPr>
            <w:tcW w:w="191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宣传渠道</w:t>
            </w:r>
          </w:p>
        </w:tc>
        <w:tc>
          <w:tcPr>
            <w:tcW w:w="251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宣传内容</w:t>
            </w:r>
          </w:p>
        </w:tc>
        <w:tc>
          <w:tcPr>
            <w:tcW w:w="1920"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效果</w:t>
            </w:r>
          </w:p>
        </w:tc>
        <w:tc>
          <w:tcPr>
            <w:tcW w:w="1701" w:type="dxa"/>
            <w:tcBorders>
              <w:top w:val="single" w:color="000000" w:sz="4" w:space="0"/>
              <w:left w:val="single" w:color="000000" w:sz="4" w:space="0"/>
              <w:bottom w:val="single" w:color="000000" w:sz="4" w:space="0"/>
              <w:right w:val="single" w:color="000000" w:sz="4" w:space="0"/>
            </w:tcBorders>
            <w:shd w:val="clear" w:color="auto" w:fill="548DD4" w:themeFill="text2" w:themeFillTint="99"/>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评价机制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2" w:hRule="atLeast"/>
          <w:jc w:val="center"/>
        </w:trPr>
        <w:tc>
          <w:tcPr>
            <w:tcW w:w="438" w:type="dxa"/>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内部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员工</w:t>
            </w:r>
          </w:p>
        </w:tc>
        <w:tc>
          <w:tcPr>
            <w:tcW w:w="1910" w:type="dxa"/>
            <w:tcBorders>
              <w:top w:val="single" w:color="000000" w:sz="4" w:space="0"/>
              <w:left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通讯平台、微信公众平台、官网、年会、培训、优秀文化案例等</w:t>
            </w:r>
          </w:p>
        </w:tc>
        <w:tc>
          <w:tcPr>
            <w:tcW w:w="2510" w:type="dxa"/>
            <w:tcBorders>
              <w:top w:val="single" w:color="000000" w:sz="4" w:space="0"/>
              <w:left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文化制度、活动展示、优秀文化案例、优秀员工事迹、高层讲文化与自身创业故事</w:t>
            </w:r>
          </w:p>
        </w:tc>
        <w:tc>
          <w:tcPr>
            <w:tcW w:w="19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提高员工企业文化认知度、认同度、满意度</w:t>
            </w:r>
          </w:p>
        </w:tc>
        <w:tc>
          <w:tcPr>
            <w:tcW w:w="170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员工满意度调查、标杆员工等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restart"/>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外部</w:t>
            </w: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顾客</w:t>
            </w:r>
          </w:p>
        </w:tc>
        <w:tc>
          <w:tcPr>
            <w:tcW w:w="1910" w:type="dxa"/>
            <w:tcBorders>
              <w:top w:val="single" w:color="000000" w:sz="4" w:space="0"/>
              <w:left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展示厅、文化墙、文化案例传播、员工培训等</w:t>
            </w:r>
          </w:p>
        </w:tc>
        <w:tc>
          <w:tcPr>
            <w:tcW w:w="2510" w:type="dxa"/>
            <w:tcBorders>
              <w:top w:val="single" w:color="000000" w:sz="4" w:space="0"/>
              <w:left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文化动态、优秀文化案例、文化讲解、成果展示</w:t>
            </w:r>
          </w:p>
        </w:tc>
        <w:tc>
          <w:tcPr>
            <w:tcW w:w="19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提高客户公司文化认同度</w:t>
            </w:r>
          </w:p>
        </w:tc>
        <w:tc>
          <w:tcPr>
            <w:tcW w:w="170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满意度调查、企业文化认同等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供方</w:t>
            </w:r>
          </w:p>
        </w:tc>
        <w:tc>
          <w:tcPr>
            <w:tcW w:w="19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微信公众号、供应商会、官网等</w:t>
            </w:r>
          </w:p>
        </w:tc>
        <w:tc>
          <w:tcPr>
            <w:tcW w:w="25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质量文化、效率文化</w:t>
            </w:r>
          </w:p>
        </w:tc>
        <w:tc>
          <w:tcPr>
            <w:tcW w:w="19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 xml:space="preserve">质量承诺书的签订 </w:t>
            </w:r>
          </w:p>
        </w:tc>
        <w:tc>
          <w:tcPr>
            <w:tcW w:w="170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提高交付效率和质量、文化落地情况和效果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股东</w:t>
            </w:r>
          </w:p>
        </w:tc>
        <w:tc>
          <w:tcPr>
            <w:tcW w:w="19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官网、微信公众号、股东会等</w:t>
            </w:r>
          </w:p>
        </w:tc>
        <w:tc>
          <w:tcPr>
            <w:tcW w:w="25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企业使命、企业愿景、</w:t>
            </w:r>
            <w:r>
              <w:rPr>
                <w:rFonts w:hint="eastAsia"/>
                <w:lang w:val="en-US" w:eastAsia="zh-CN"/>
              </w:rPr>
              <w:t>阻燃剂文具</w:t>
            </w:r>
            <w:r>
              <w:rPr>
                <w:rFonts w:hint="eastAsia" w:ascii="宋体" w:hAnsi="宋体" w:eastAsia="宋体" w:cs="宋体"/>
                <w:spacing w:val="-5"/>
                <w:sz w:val="21"/>
                <w:szCs w:val="21"/>
                <w:lang w:val="zh-CN" w:eastAsia="zh-CN" w:bidi="zh-CN"/>
              </w:rPr>
              <w:t>文化</w:t>
            </w:r>
          </w:p>
        </w:tc>
        <w:tc>
          <w:tcPr>
            <w:tcW w:w="19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投资交流活动、文化之旅</w:t>
            </w:r>
          </w:p>
        </w:tc>
        <w:tc>
          <w:tcPr>
            <w:tcW w:w="170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股东认可、投资交流频次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 w:hRule="atLeast"/>
          <w:jc w:val="center"/>
        </w:trPr>
        <w:tc>
          <w:tcPr>
            <w:tcW w:w="438" w:type="dxa"/>
            <w:vMerge w:val="continue"/>
            <w:tcBorders>
              <w:top w:val="single" w:color="000000" w:sz="4" w:space="0"/>
              <w:left w:val="single" w:color="000000" w:sz="4" w:space="0"/>
              <w:bottom w:val="single" w:color="000000" w:sz="4" w:space="0"/>
              <w:right w:val="single" w:color="auto"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p>
        </w:tc>
        <w:tc>
          <w:tcPr>
            <w:tcW w:w="524" w:type="dxa"/>
            <w:tcBorders>
              <w:top w:val="single" w:color="000000" w:sz="4" w:space="0"/>
              <w:left w:val="single" w:color="auto" w:sz="4" w:space="0"/>
              <w:bottom w:val="single" w:color="000000" w:sz="4" w:space="0"/>
              <w:right w:val="single" w:color="000000" w:sz="4" w:space="0"/>
            </w:tcBorders>
            <w:shd w:val="clear" w:color="auto" w:fill="F2F2F2"/>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社会</w:t>
            </w:r>
          </w:p>
        </w:tc>
        <w:tc>
          <w:tcPr>
            <w:tcW w:w="19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文化交流、企业文化交流等</w:t>
            </w:r>
          </w:p>
        </w:tc>
        <w:tc>
          <w:tcPr>
            <w:tcW w:w="251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社会贡献、企业使命、企业愿景、党建文化</w:t>
            </w:r>
          </w:p>
        </w:tc>
        <w:tc>
          <w:tcPr>
            <w:tcW w:w="1920"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文化之旅、党建文化访问、企业文化访问</w:t>
            </w:r>
          </w:p>
        </w:tc>
        <w:tc>
          <w:tcPr>
            <w:tcW w:w="1701" w:type="dxa"/>
            <w:tcBorders>
              <w:top w:val="single" w:color="000000" w:sz="4" w:space="0"/>
              <w:left w:val="single" w:color="000000" w:sz="4" w:space="0"/>
              <w:bottom w:val="single" w:color="000000" w:sz="4" w:space="0"/>
              <w:right w:val="single" w:color="000000" w:sz="4" w:space="0"/>
            </w:tcBorders>
            <w:shd w:val="clear" w:color="auto" w:fill="F2F2F2"/>
            <w:vAlign w:val="center"/>
          </w:tcPr>
          <w:p>
            <w:pPr>
              <w:snapToGrid w:val="0"/>
              <w:spacing w:line="360" w:lineRule="auto"/>
              <w:jc w:val="center"/>
              <w:rPr>
                <w:rFonts w:hint="eastAsia" w:ascii="宋体" w:hAnsi="宋体" w:eastAsia="宋体" w:cs="宋体"/>
                <w:spacing w:val="-5"/>
                <w:sz w:val="21"/>
                <w:szCs w:val="21"/>
                <w:lang w:val="zh-CN" w:eastAsia="zh-CN" w:bidi="zh-CN"/>
              </w:rPr>
            </w:pPr>
            <w:r>
              <w:rPr>
                <w:rFonts w:hint="eastAsia" w:ascii="宋体" w:hAnsi="宋体" w:eastAsia="宋体" w:cs="宋体"/>
                <w:spacing w:val="-5"/>
                <w:sz w:val="21"/>
                <w:szCs w:val="21"/>
                <w:lang w:val="zh-CN" w:eastAsia="zh-CN" w:bidi="zh-CN"/>
              </w:rPr>
              <w:t>提升社会知名度、交流接待数量</w:t>
            </w:r>
          </w:p>
        </w:tc>
      </w:tr>
    </w:tbl>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公司将“企业文化培训”作为新员工入职学习内容之一，每年由高层领导亲自讲解和引导；公司通过</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网站、宣传海报、微信公众号、企业文化手册、丰富多彩的企业文化活动等方式，将核心文化传播至各层次、各部门，营造浓郁的企业文化氛围。</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b）与相关方进行沟通，激励员工以强化组织的方向和重点</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1）加强与员工及其他相关方的沟通</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公司通过多种方式向股东、员工、客户、供应商等利益相关方传播企业文化，激励企业全员为实现公司战略目标而努力，也促使相关方充分理解公司经营理念。</w:t>
      </w:r>
    </w:p>
    <w:p>
      <w:pPr>
        <w:pStyle w:val="4"/>
        <w:spacing w:before="166" w:line="360" w:lineRule="auto"/>
        <w:ind w:right="359" w:firstLine="480"/>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图表</w:t>
      </w:r>
      <w:r>
        <w:rPr>
          <w:rFonts w:hint="eastAsia" w:ascii="宋体" w:hAnsi="宋体" w:eastAsia="宋体" w:cs="宋体"/>
          <w:spacing w:val="-5"/>
          <w:sz w:val="24"/>
          <w:szCs w:val="24"/>
          <w:lang w:val="en-US" w:eastAsia="zh-CN" w:bidi="zh-CN"/>
        </w:rPr>
        <w:t>2</w:t>
      </w:r>
      <w:r>
        <w:rPr>
          <w:rFonts w:hint="eastAsia" w:ascii="宋体" w:hAnsi="宋体" w:eastAsia="宋体" w:cs="宋体"/>
          <w:spacing w:val="-5"/>
          <w:sz w:val="24"/>
          <w:szCs w:val="24"/>
          <w:lang w:val="zh-CN" w:eastAsia="zh-CN" w:bidi="zh-CN"/>
        </w:rPr>
        <w:t>.1-</w:t>
      </w:r>
      <w:r>
        <w:rPr>
          <w:rFonts w:hint="eastAsia" w:ascii="宋体" w:hAnsi="宋体" w:eastAsia="宋体" w:cs="宋体"/>
          <w:spacing w:val="-5"/>
          <w:sz w:val="24"/>
          <w:szCs w:val="24"/>
          <w:lang w:val="zh-CN" w:eastAsia="zh-CN" w:bidi="zh-CN"/>
        </w:rPr>
        <w:fldChar w:fldCharType="begin"/>
      </w:r>
      <w:r>
        <w:rPr>
          <w:rFonts w:hint="eastAsia" w:ascii="宋体" w:hAnsi="宋体" w:eastAsia="宋体" w:cs="宋体"/>
          <w:spacing w:val="-5"/>
          <w:sz w:val="24"/>
          <w:szCs w:val="24"/>
          <w:lang w:val="zh-CN" w:eastAsia="zh-CN" w:bidi="zh-CN"/>
        </w:rPr>
        <w:instrText xml:space="preserve"> SEQ 图表4.1- \* ARABIC </w:instrText>
      </w:r>
      <w:r>
        <w:rPr>
          <w:rFonts w:hint="eastAsia" w:ascii="宋体" w:hAnsi="宋体" w:eastAsia="宋体" w:cs="宋体"/>
          <w:spacing w:val="-5"/>
          <w:sz w:val="24"/>
          <w:szCs w:val="24"/>
          <w:lang w:val="zh-CN" w:eastAsia="zh-CN" w:bidi="zh-CN"/>
        </w:rPr>
        <w:fldChar w:fldCharType="separate"/>
      </w:r>
      <w:r>
        <w:rPr>
          <w:rFonts w:hint="eastAsia" w:ascii="宋体" w:hAnsi="宋体" w:eastAsia="宋体" w:cs="宋体"/>
          <w:spacing w:val="-5"/>
          <w:sz w:val="24"/>
          <w:szCs w:val="24"/>
          <w:lang w:val="zh-CN" w:eastAsia="zh-CN" w:bidi="zh-CN"/>
        </w:rPr>
        <w:t>4</w:t>
      </w:r>
      <w:r>
        <w:rPr>
          <w:rFonts w:hint="eastAsia" w:ascii="宋体" w:hAnsi="宋体" w:eastAsia="宋体" w:cs="宋体"/>
          <w:spacing w:val="-5"/>
          <w:sz w:val="24"/>
          <w:szCs w:val="24"/>
          <w:lang w:val="zh-CN" w:eastAsia="zh-CN" w:bidi="zh-CN"/>
        </w:rPr>
        <w:fldChar w:fldCharType="end"/>
      </w:r>
      <w:r>
        <w:rPr>
          <w:rFonts w:hint="eastAsia" w:ascii="宋体" w:hAnsi="宋体" w:eastAsia="宋体" w:cs="宋体"/>
          <w:spacing w:val="-5"/>
          <w:sz w:val="24"/>
          <w:szCs w:val="24"/>
          <w:lang w:val="zh-CN" w:eastAsia="zh-CN" w:bidi="zh-CN"/>
        </w:rPr>
        <w:t xml:space="preserve"> 公司与相关方双向沟通方式</w:t>
      </w:r>
    </w:p>
    <w:tbl>
      <w:tblPr>
        <w:tblStyle w:val="9"/>
        <w:tblW w:w="90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9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jc w:val="center"/>
        </w:trPr>
        <w:tc>
          <w:tcPr>
            <w:tcW w:w="1101" w:type="dxa"/>
            <w:shd w:val="clear" w:color="auto" w:fill="548DD4" w:themeFill="text2" w:themeFillTint="99"/>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对象</w:t>
            </w:r>
          </w:p>
        </w:tc>
        <w:tc>
          <w:tcPr>
            <w:tcW w:w="7902" w:type="dxa"/>
            <w:shd w:val="clear" w:color="auto" w:fill="548DD4" w:themeFill="text2" w:themeFillTint="99"/>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沟通方式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restart"/>
            <w:shd w:val="clear" w:color="auto" w:fill="F2F2F2"/>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员工</w:t>
            </w:r>
          </w:p>
        </w:tc>
        <w:tc>
          <w:tcPr>
            <w:tcW w:w="7902"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公司网站、《员工手册》、企业宣传册、企业文化墙、公司展厅、宣传片、宣传窗等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spacing w:line="360" w:lineRule="auto"/>
              <w:rPr>
                <w:rFonts w:hint="eastAsia" w:ascii="宋体" w:hAnsi="宋体" w:eastAsia="宋体" w:cs="宋体"/>
                <w:spacing w:val="-5"/>
                <w:sz w:val="24"/>
                <w:szCs w:val="24"/>
                <w:lang w:val="zh-CN" w:eastAsia="zh-CN" w:bidi="zh-CN"/>
              </w:rPr>
            </w:pPr>
          </w:p>
        </w:tc>
        <w:tc>
          <w:tcPr>
            <w:tcW w:w="7902"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电话、QQ、微信平台、电子邮件系统等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spacing w:line="360" w:lineRule="auto"/>
              <w:rPr>
                <w:rFonts w:hint="eastAsia" w:ascii="宋体" w:hAnsi="宋体" w:eastAsia="宋体" w:cs="宋体"/>
                <w:spacing w:val="-5"/>
                <w:sz w:val="24"/>
                <w:szCs w:val="24"/>
                <w:lang w:val="zh-CN" w:eastAsia="zh-CN" w:bidi="zh-CN"/>
              </w:rPr>
            </w:pPr>
          </w:p>
        </w:tc>
        <w:tc>
          <w:tcPr>
            <w:tcW w:w="7902"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新员工入职培训、企业文化培训、素质拓展训练、专业培训、技能培训等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spacing w:line="360" w:lineRule="auto"/>
              <w:rPr>
                <w:rFonts w:hint="eastAsia" w:ascii="宋体" w:hAnsi="宋体" w:eastAsia="宋体" w:cs="宋体"/>
                <w:spacing w:val="-5"/>
                <w:sz w:val="24"/>
                <w:szCs w:val="24"/>
                <w:lang w:val="zh-CN" w:eastAsia="zh-CN" w:bidi="zh-CN"/>
              </w:rPr>
            </w:pPr>
          </w:p>
        </w:tc>
        <w:tc>
          <w:tcPr>
            <w:tcW w:w="7902"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职工活动、联谊活动、文艺活动、旅游活动、公益活动等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vMerge w:val="continue"/>
            <w:shd w:val="clear" w:color="auto" w:fill="F2F2F2"/>
          </w:tcPr>
          <w:p>
            <w:pPr>
              <w:spacing w:line="360" w:lineRule="auto"/>
              <w:rPr>
                <w:rFonts w:hint="eastAsia" w:ascii="宋体" w:hAnsi="宋体" w:eastAsia="宋体" w:cs="宋体"/>
                <w:spacing w:val="-5"/>
                <w:sz w:val="24"/>
                <w:szCs w:val="24"/>
                <w:lang w:val="zh-CN" w:eastAsia="zh-CN" w:bidi="zh-CN"/>
              </w:rPr>
            </w:pPr>
          </w:p>
        </w:tc>
        <w:tc>
          <w:tcPr>
            <w:tcW w:w="7902"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周例会、生产例会、营销例会、月度总结大会、年度总结大会等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顾客</w:t>
            </w:r>
          </w:p>
        </w:tc>
        <w:tc>
          <w:tcPr>
            <w:tcW w:w="7902"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官网、展会沟通、企业宣传册、广告宣传、传真、电子邮件、新闻媒体、行业杂志、客户服务热线、现场走访等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adjustRightInd w:val="0"/>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股东</w:t>
            </w:r>
          </w:p>
        </w:tc>
        <w:tc>
          <w:tcPr>
            <w:tcW w:w="7902"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股东大会、网站、报刊、各种财务报表、审计报告、新闻媒体宣传、个别沟通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供应商</w:t>
            </w:r>
          </w:p>
        </w:tc>
        <w:tc>
          <w:tcPr>
            <w:tcW w:w="7902"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供应商实地考察、供应商评选、供应商会议、电话沟通、电子邮件等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 xml:space="preserve">合作伙伴 </w:t>
            </w:r>
          </w:p>
        </w:tc>
        <w:tc>
          <w:tcPr>
            <w:tcW w:w="7902"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公司网站、新闻媒体、行业协会活动、项目开发等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101" w:type="dxa"/>
            <w:shd w:val="clear" w:color="auto" w:fill="F2F2F2"/>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政府</w:t>
            </w:r>
          </w:p>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公众</w:t>
            </w:r>
          </w:p>
        </w:tc>
        <w:tc>
          <w:tcPr>
            <w:tcW w:w="7902"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工作汇报、项目评审、参观指导、接待相关人员来访、参加公益活动、慈善捐赠等、</w:t>
            </w:r>
          </w:p>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企业网站、企业刊物、宣传册、宣传片等</w:t>
            </w:r>
          </w:p>
        </w:tc>
      </w:tr>
    </w:tbl>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2）激励员工以强化组织发展</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为了激励员工的正确行为，公司从文化、制度和活动多方面进行了激励，鼓励员工的行为符合公司发展方向。</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文化激励：</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人以“快乐工作、和谐团队”为宗旨，坚持“客户第一、团队合作、开拓创新、诚信敬业、精益求精”，努力营造以人为本、和谐共事、快乐工作、激情创业、健康生活的氛围，真正形成团结和谐谋发展、众志成城创大业的合力，实现企业和员工的文明、和谐、科学、有效的发展。正确、扎实、快速、有效应该是</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的工作风格，在保证事情做对的前提下，实现行事高品质、高效率、低成本，那最后的高效益就会成为必然。</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制度激励：公司制定了员工手册，规范员工行为，并通过制定各种奖励制度，鼓励员工表现公司期待的行为。如供应商管理制度、廉政文化建设制度等。</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物质激励：为鼓励全体员工实现卓越绩效的活动，强化公司未来的发展方向和发展重点，公司设立了优秀员工、优秀团队、创新奖等荣誉，为员工的优秀表现给予精神奖励及物质奖励。在供应商与顾客方面，公司定期评级，根据评级结果相应提供增值性服务，以增进双方友谊，朝着对双方都有利的方向迈进。</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c）营造良好的内部经营环境</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1）创造诚信守法的环境</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高层领导致力于营造守法重德的环境，坚持诚信经营、遵纪守法、依法纳税。公司每年组织各部门开展法律法规监督与检查，严格遵守国家的法律法规，建立商业行为准则和员工商业行为规范。公司一直践行廉政文化，逐步完善制度，规范公司及员工行为。此外，公司定期接受国外多家知名品牌客户验厂，不断完善诚信守法体系。</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公司通过各种方式对合作方实施影响，例如，公司以合同的形式规范供应商行为，通过对供应商的审计评价，认定其供应资格。近几年来，公司没有发生一件诉讼或纠纷。</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坚信诚为做人之源，信为立业之本是企业做大做强的根本，求真务实的思想作风是企业对社会、客户、员工等责任承诺的保障基础。在公司内部企业、部门、员工之间都要讲诚信、守承诺，相互信赖、相互支持；在外部则是做事业要务实，注重长期经营，坚持合作共赢，承担社会责任，关注节能环保问题，成为行业节能环保先行者。</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2）创建有利于改进和创新的环境</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的快速发展离不开总经理的不断创新的思维和实践，正是由于</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的发展动力来自于源源不断的创新，使得创新意识已植根于企业文化，并不断促进公司的发展。</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科技创新环境的营造</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在多年的经营过程中不断契合消费者需求，追求产品时尚、新颖、环保等方面的创新，追求产品高标准高质量。公司新产品开发以市场需求为坐标，了解市场的需求和用户的心理，以此研发新的产品，开拓新的消费需求领域，以领先行业研发水平的智造能力为产品性能加码。</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科技创新：公司建立了企业技术中心，获得“</w:t>
      </w:r>
      <w:r>
        <w:rPr>
          <w:rFonts w:hint="eastAsia" w:cs="宋体"/>
          <w:spacing w:val="-5"/>
          <w:sz w:val="24"/>
          <w:szCs w:val="24"/>
          <w:lang w:val="en-US" w:eastAsia="zh-CN" w:bidi="zh-CN"/>
        </w:rPr>
        <w:t>专精特新</w:t>
      </w:r>
      <w:r>
        <w:rPr>
          <w:rFonts w:hint="eastAsia" w:ascii="宋体" w:hAnsi="宋体" w:eastAsia="宋体" w:cs="宋体"/>
          <w:spacing w:val="-5"/>
          <w:sz w:val="24"/>
          <w:szCs w:val="24"/>
          <w:lang w:val="zh-CN" w:eastAsia="zh-CN" w:bidi="zh-CN"/>
        </w:rPr>
        <w:t>”</w:t>
      </w:r>
      <w:r>
        <w:rPr>
          <w:rFonts w:hint="eastAsia" w:cs="宋体"/>
          <w:spacing w:val="-5"/>
          <w:sz w:val="24"/>
          <w:szCs w:val="24"/>
          <w:lang w:val="zh-CN" w:eastAsia="zh-CN" w:bidi="zh-CN"/>
        </w:rPr>
        <w:t>、“</w:t>
      </w:r>
      <w:r>
        <w:rPr>
          <w:rFonts w:hint="eastAsia" w:cs="宋体"/>
          <w:spacing w:val="-5"/>
          <w:sz w:val="24"/>
          <w:szCs w:val="24"/>
          <w:lang w:val="en-US" w:eastAsia="zh-CN" w:bidi="zh-CN"/>
        </w:rPr>
        <w:t>国家高新技术企业</w:t>
      </w:r>
      <w:r>
        <w:rPr>
          <w:rFonts w:hint="eastAsia" w:cs="宋体"/>
          <w:spacing w:val="-5"/>
          <w:sz w:val="24"/>
          <w:szCs w:val="24"/>
          <w:lang w:val="zh-CN" w:eastAsia="zh-CN" w:bidi="zh-CN"/>
        </w:rPr>
        <w:t>”</w:t>
      </w:r>
      <w:r>
        <w:rPr>
          <w:rFonts w:hint="eastAsia" w:ascii="宋体" w:hAnsi="宋体" w:eastAsia="宋体" w:cs="宋体"/>
          <w:spacing w:val="-5"/>
          <w:sz w:val="24"/>
          <w:szCs w:val="24"/>
          <w:lang w:val="zh-CN" w:eastAsia="zh-CN" w:bidi="zh-CN"/>
        </w:rPr>
        <w:t>荣誉，为保证技术中心各项工作的顺利、有序开展，公司从制度入手，注重抓源头，建机构，建立并不多完善各项管理制度，使技术中心各项工作有章有循、有规可依。</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建立了完善的财务分析制度，充分收集有关财务、销售、市场、技术、政策、法律等方面的有关信息资料，根据不同情况分别采用比较分析、因素分析、平衡分析等方法。公司每月召开资金分析会议，分析预算执行情况、财务收入、费用、利润的预算完成情况及资金日常使用的执行情况。跟踪检查月度资金计划执行情况，有效控制资金使用，使公司实时掌握资金情况并根据各种需求做出调整。</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在人员激励上，为鼓励研发人员的创造性，企业制订相应的激励措施，对围绕企业生产能力有关产品，新开发研究成功的全新产品，直接给予资金奖励。同时，将产品的新创意、新技艺等方面列入研发中心人员月绩效考核的指标内容，极大地调动了研发人员致力新产品开发和研制的工作热情。</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管理创新环境的营造</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管理创新：此外，为推进企业生产经营、技术创新、制度建设、内部管理等，公司制定了员工合理化建议管理制度，规定合理化建议范围及奖励方式等。该管理办法为员工合理化建议提供了良好的实施环境，极大地鼓舞了员工争做创新标杆的士气。</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企业内部有利于改进和创新环境的建立，使企业产品质量、服务以及内部管理有了新的提高，品牌效益初步显现，奠定了</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品牌</w:t>
      </w:r>
      <w:r>
        <w:rPr>
          <w:rFonts w:hint="eastAsia" w:cs="宋体"/>
          <w:spacing w:val="-5"/>
          <w:sz w:val="24"/>
          <w:szCs w:val="24"/>
          <w:lang w:val="en-US" w:eastAsia="zh-CN" w:bidi="zh-CN"/>
        </w:rPr>
        <w:t>阻燃剂</w:t>
      </w:r>
      <w:r>
        <w:rPr>
          <w:rFonts w:hint="eastAsia" w:ascii="宋体" w:hAnsi="宋体" w:eastAsia="宋体" w:cs="宋体"/>
          <w:spacing w:val="-5"/>
          <w:sz w:val="24"/>
          <w:szCs w:val="24"/>
          <w:lang w:val="zh-CN" w:eastAsia="zh-CN" w:bidi="zh-CN"/>
        </w:rPr>
        <w:t>行业的领先地位。</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3）营造快速反应的环境</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秉持“反应迅速、计划周密、执行有力”的行事理念高效处理各项事务。高层领导以顾客和市场、员工为中心，推行“快速反应”的管理原则，建立快速反应机制。</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对于内部员工，建立覆盖各种紧急情况的应急预案，并开展应急演练，培育员工的危机处理意识和能力，实现对意外情况的快速处理，例如顾客投诉应急处理预案、火灾、停电等紧急处理预案等。</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在组织结构方面，建立扁平化的组织结构，通过缩短指令向下传达或信息向上传递的层级，提升组织的响应速度，通过构建信息化办公系统，为实现将财务、销售、采购、物流、生产等核心业务实现一体化管理，持续高效运营，识别和开发并及时、准确的获取相关信息和知识资源，通过企业微信号、QC小组、TPM、项目攻关等方式，实现信息资源有效传递和应用，科学、高效的资源管理成为公司持续、稳定发展，以及提升核心竞争的有力保障。</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在工作方面，通过优化业务流程，引进先进的软硬件和技术人才，提升新品的开发速度。目前，公司新产品开发速度在业内处于领先水平。针对外部事件，及时进行危机处理，召开营销会议等活动进行应急战略、战术调整，高效对各环境变化做出反应。</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4）营造全员学习的环境</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领导非常重视员工的培训和学习，积极建设学习型组织，构建了“多层级培训发展体系”，针对高层、中层、基层、专业人员、新员工等开展丰富多样的培训活动。并采用外派与内训、线上线下相结合方式给予员工最全面、便捷的学习途径。为了创造一个更好的环境，公司配备了先进的多媒体教学设施，宽敞舒适的学习环境，完善的培训教学的软件资源。</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为保证准确的识别培训需求、制定并实施培训计划，公司每年发放《公司员工培训需求调查表》，以此收集各部门员工的培训需求，并以此制定培训计划。依据总体培训规划，公司明确了分级培训体系，分别针对高管人员、中层人员和基层人员确定相应的培训内容及培训方式，使得培训项目的实施更加符合公司整体战略发展规划。</w:t>
      </w:r>
    </w:p>
    <w:p>
      <w:pPr>
        <w:pStyle w:val="4"/>
        <w:spacing w:before="166" w:line="360" w:lineRule="auto"/>
        <w:ind w:right="359" w:firstLine="480"/>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图表</w:t>
      </w:r>
      <w:r>
        <w:rPr>
          <w:rFonts w:hint="eastAsia" w:ascii="宋体" w:hAnsi="宋体" w:eastAsia="宋体" w:cs="宋体"/>
          <w:spacing w:val="-5"/>
          <w:sz w:val="24"/>
          <w:szCs w:val="24"/>
          <w:lang w:val="en-US" w:eastAsia="zh-CN" w:bidi="zh-CN"/>
        </w:rPr>
        <w:t>2</w:t>
      </w:r>
      <w:r>
        <w:rPr>
          <w:rFonts w:hint="eastAsia" w:ascii="宋体" w:hAnsi="宋体" w:eastAsia="宋体" w:cs="宋体"/>
          <w:spacing w:val="-5"/>
          <w:sz w:val="24"/>
          <w:szCs w:val="24"/>
          <w:lang w:val="zh-CN" w:eastAsia="zh-CN" w:bidi="zh-CN"/>
        </w:rPr>
        <w:t>.1-</w:t>
      </w:r>
      <w:r>
        <w:rPr>
          <w:rFonts w:hint="eastAsia" w:ascii="宋体" w:hAnsi="宋体" w:eastAsia="宋体" w:cs="宋体"/>
          <w:spacing w:val="-5"/>
          <w:sz w:val="24"/>
          <w:szCs w:val="24"/>
          <w:lang w:val="zh-CN" w:eastAsia="zh-CN" w:bidi="zh-CN"/>
        </w:rPr>
        <w:fldChar w:fldCharType="begin"/>
      </w:r>
      <w:r>
        <w:rPr>
          <w:rFonts w:hint="eastAsia" w:ascii="宋体" w:hAnsi="宋体" w:eastAsia="宋体" w:cs="宋体"/>
          <w:spacing w:val="-5"/>
          <w:sz w:val="24"/>
          <w:szCs w:val="24"/>
          <w:lang w:val="zh-CN" w:eastAsia="zh-CN" w:bidi="zh-CN"/>
        </w:rPr>
        <w:instrText xml:space="preserve"> SEQ 图表4.1- \* ARABIC </w:instrText>
      </w:r>
      <w:r>
        <w:rPr>
          <w:rFonts w:hint="eastAsia" w:ascii="宋体" w:hAnsi="宋体" w:eastAsia="宋体" w:cs="宋体"/>
          <w:spacing w:val="-5"/>
          <w:sz w:val="24"/>
          <w:szCs w:val="24"/>
          <w:lang w:val="zh-CN" w:eastAsia="zh-CN" w:bidi="zh-CN"/>
        </w:rPr>
        <w:fldChar w:fldCharType="separate"/>
      </w:r>
      <w:r>
        <w:rPr>
          <w:rFonts w:hint="eastAsia" w:ascii="宋体" w:hAnsi="宋体" w:eastAsia="宋体" w:cs="宋体"/>
          <w:spacing w:val="-5"/>
          <w:sz w:val="24"/>
          <w:szCs w:val="24"/>
          <w:lang w:val="zh-CN" w:eastAsia="zh-CN" w:bidi="zh-CN"/>
        </w:rPr>
        <w:t>5</w:t>
      </w:r>
      <w:r>
        <w:rPr>
          <w:rFonts w:hint="eastAsia" w:ascii="宋体" w:hAnsi="宋体" w:eastAsia="宋体" w:cs="宋体"/>
          <w:spacing w:val="-5"/>
          <w:sz w:val="24"/>
          <w:szCs w:val="24"/>
          <w:lang w:val="zh-CN" w:eastAsia="zh-CN" w:bidi="zh-CN"/>
        </w:rPr>
        <w:fldChar w:fldCharType="end"/>
      </w:r>
      <w:r>
        <w:rPr>
          <w:rFonts w:hint="eastAsia" w:ascii="宋体" w:hAnsi="宋体" w:eastAsia="宋体" w:cs="宋体"/>
          <w:spacing w:val="-5"/>
          <w:sz w:val="24"/>
          <w:szCs w:val="24"/>
          <w:lang w:val="zh-CN" w:eastAsia="zh-CN" w:bidi="zh-CN"/>
        </w:rPr>
        <w:t xml:space="preserve">  培训层级体系表</w:t>
      </w:r>
    </w:p>
    <w:tbl>
      <w:tblPr>
        <w:tblStyle w:val="9"/>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4762"/>
        <w:gridCol w:w="29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blHeader/>
          <w:jc w:val="center"/>
        </w:trPr>
        <w:tc>
          <w:tcPr>
            <w:tcW w:w="1277" w:type="dxa"/>
            <w:shd w:val="clear" w:color="auto" w:fill="548DD4" w:themeFill="text2" w:themeFillTint="99"/>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培训级别</w:t>
            </w:r>
          </w:p>
        </w:tc>
        <w:tc>
          <w:tcPr>
            <w:tcW w:w="4762" w:type="dxa"/>
            <w:shd w:val="clear" w:color="auto" w:fill="548DD4" w:themeFill="text2" w:themeFillTint="99"/>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主要培训内容</w:t>
            </w:r>
          </w:p>
        </w:tc>
        <w:tc>
          <w:tcPr>
            <w:tcW w:w="2945" w:type="dxa"/>
            <w:shd w:val="clear" w:color="auto" w:fill="548DD4" w:themeFill="text2" w:themeFillTint="99"/>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培训方式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 w:hRule="atLeast"/>
          <w:jc w:val="center"/>
        </w:trPr>
        <w:tc>
          <w:tcPr>
            <w:tcW w:w="1277" w:type="dxa"/>
            <w:shd w:val="clear" w:color="auto" w:fill="F2F2F2"/>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高管人员</w:t>
            </w:r>
          </w:p>
        </w:tc>
        <w:tc>
          <w:tcPr>
            <w:tcW w:w="4762"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侧重于观念、理念方面，此外还有市场经济所要求的系统管理理论和技能，如管理学、组织行为学、市场营销、企业经营战略、企业经营过程控制、领导科学与艺术等。</w:t>
            </w:r>
          </w:p>
        </w:tc>
        <w:tc>
          <w:tcPr>
            <w:tcW w:w="2945"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以外派培训为主。诸如，有计划地安排高层管理者参加MBA学习、总裁高级研修班、高级论坛、赴外地考察等等。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1277" w:type="dxa"/>
            <w:shd w:val="clear" w:color="auto" w:fill="F2F2F2"/>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中层人员</w:t>
            </w:r>
          </w:p>
        </w:tc>
        <w:tc>
          <w:tcPr>
            <w:tcW w:w="4762"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管理基本知识与技能：管理学、组织行为学、人力资源开发与管理、市场学、领导科学与艺术等课程。</w:t>
            </w:r>
          </w:p>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业务知识与技能：负责的业务领域如技术、销售等领域的知识与技能。</w:t>
            </w:r>
          </w:p>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工作改进：工作分配、工作方法的改进、工作流程的改进。</w:t>
            </w:r>
          </w:p>
        </w:tc>
        <w:tc>
          <w:tcPr>
            <w:tcW w:w="2945"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以公司内训为主，外训为辅。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jc w:val="center"/>
        </w:trPr>
        <w:tc>
          <w:tcPr>
            <w:tcW w:w="1277" w:type="dxa"/>
            <w:shd w:val="clear" w:color="auto" w:fill="F2F2F2"/>
            <w:vAlign w:val="center"/>
          </w:tcPr>
          <w:p>
            <w:pPr>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基层人员</w:t>
            </w:r>
          </w:p>
        </w:tc>
        <w:tc>
          <w:tcPr>
            <w:tcW w:w="4762"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针对在岗员工岗位职责、专业技能、操作规程、业务流程等进行反复强化培训，以使员工在充分掌握理论的基础上，能自由地应用、发挥、提高。</w:t>
            </w:r>
          </w:p>
        </w:tc>
        <w:tc>
          <w:tcPr>
            <w:tcW w:w="2945" w:type="dxa"/>
            <w:shd w:val="clear" w:color="auto" w:fill="F2F2F2"/>
            <w:vAlign w:val="center"/>
          </w:tcPr>
          <w:p>
            <w:pPr>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参考中层管理人员。</w:t>
            </w:r>
          </w:p>
        </w:tc>
      </w:tr>
    </w:tbl>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此外，公司还注重员工自我学习氛围的构建，强调员工在工作之余不断自我学习的重要性，以此培育“与时俱进”的学习文化。</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d）履行确保组织所提供产品和服务质量安全的责任</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在</w:t>
      </w:r>
      <w:r>
        <w:rPr>
          <w:rFonts w:hint="eastAsia" w:cs="宋体"/>
          <w:spacing w:val="-5"/>
          <w:sz w:val="24"/>
          <w:szCs w:val="24"/>
          <w:lang w:val="en-US" w:eastAsia="zh-CN" w:bidi="zh-CN"/>
        </w:rPr>
        <w:t>阻燃剂</w:t>
      </w:r>
      <w:r>
        <w:rPr>
          <w:rFonts w:hint="eastAsia" w:ascii="宋体" w:hAnsi="宋体" w:eastAsia="宋体" w:cs="宋体"/>
          <w:spacing w:val="-5"/>
          <w:sz w:val="24"/>
          <w:szCs w:val="24"/>
          <w:lang w:val="zh-CN" w:eastAsia="zh-CN" w:bidi="zh-CN"/>
        </w:rPr>
        <w:t>领域，产品品质、技术创新有着同等重要的位置，追求卓越的产品品质和领先的研发技术是一条漫长的道路。</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在十多年的坚持不懈中，高层领导始终坚持完善服务体系，努力提高产品品质，以市场规律为依据立足市场，在质和量的矛盾面前，确保产品质量再扩大产量、规模，以品质取胜。</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为履行确保组织所提供产品和服务的质量安全的职责，引导组织承担质量安全主体责任，公司从价值链角度对包括设计开发、采购、生产、质量管理、销售等涉及产品和服务质量安全的过程进行了梳理、识别和分析，并根据创新与效率原则对过程进行设计，充分运用绩效系统对过程的实施进行监控，关注过程输入与输出，持续改进，形成有效的PDCA循环。为了保证所设计的流程能够有效的执行，公司针对每一过程分别制定操作说明书，并定期进行考核与监控。</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内部导入并运行ISO9001：2015质量管理体系，以质取胜，以创新拓市场，成为行业之标杆。在履行确保组织所提供产品和服务质量安全的责任方面，公司在原料采购上对各原材料实施订单协议收购，强化对采购原材料的检验及质量全过程控制。</w:t>
      </w:r>
    </w:p>
    <w:p>
      <w:pPr>
        <w:widowControl/>
        <w:spacing w:line="360" w:lineRule="auto"/>
        <w:ind w:firstLine="48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在产品自主创新方面，公司</w:t>
      </w:r>
      <w:r>
        <w:rPr>
          <w:rFonts w:hint="eastAsia" w:cs="宋体"/>
          <w:spacing w:val="-5"/>
          <w:sz w:val="24"/>
          <w:szCs w:val="24"/>
          <w:lang w:val="zh-CN" w:eastAsia="zh-CN" w:bidi="zh-CN"/>
        </w:rPr>
        <w:t>成立</w:t>
      </w:r>
      <w:r>
        <w:rPr>
          <w:rFonts w:hint="eastAsia" w:ascii="宋体" w:hAnsi="宋体" w:eastAsia="宋体" w:cs="宋体"/>
          <w:spacing w:val="-5"/>
          <w:sz w:val="24"/>
          <w:szCs w:val="24"/>
          <w:lang w:val="zh-CN" w:eastAsia="zh-CN" w:bidi="zh-CN"/>
        </w:rPr>
        <w:t>技术研发中心，致力于</w:t>
      </w:r>
      <w:r>
        <w:rPr>
          <w:rFonts w:hint="eastAsia" w:cs="宋体"/>
          <w:spacing w:val="-5"/>
          <w:sz w:val="24"/>
          <w:szCs w:val="24"/>
          <w:lang w:val="en-US" w:eastAsia="zh-CN" w:bidi="zh-CN"/>
        </w:rPr>
        <w:t>阻燃剂</w:t>
      </w:r>
      <w:r>
        <w:rPr>
          <w:rFonts w:hint="eastAsia" w:ascii="宋体" w:hAnsi="宋体" w:eastAsia="宋体" w:cs="宋体"/>
          <w:spacing w:val="-5"/>
          <w:sz w:val="24"/>
          <w:szCs w:val="24"/>
          <w:lang w:val="zh-CN" w:eastAsia="zh-CN" w:bidi="zh-CN"/>
        </w:rPr>
        <w:t>的研发创新，获得多项国家专利。公司目前已获得了</w:t>
      </w:r>
      <w:r>
        <w:rPr>
          <w:rFonts w:hint="eastAsia" w:cs="宋体"/>
          <w:spacing w:val="-5"/>
          <w:sz w:val="24"/>
          <w:szCs w:val="24"/>
          <w:lang w:val="en-US" w:eastAsia="zh-CN" w:bidi="zh-CN"/>
        </w:rPr>
        <w:t>18</w:t>
      </w:r>
      <w:r>
        <w:rPr>
          <w:rFonts w:hint="eastAsia" w:ascii="宋体" w:hAnsi="宋体" w:eastAsia="宋体" w:cs="宋体"/>
          <w:spacing w:val="-5"/>
          <w:sz w:val="24"/>
          <w:szCs w:val="24"/>
          <w:lang w:val="zh-CN" w:eastAsia="zh-CN" w:bidi="zh-CN"/>
        </w:rPr>
        <w:t xml:space="preserve">项专利，实用新型专利 </w:t>
      </w:r>
      <w:r>
        <w:rPr>
          <w:rFonts w:hint="eastAsia" w:cs="宋体"/>
          <w:spacing w:val="-5"/>
          <w:sz w:val="24"/>
          <w:szCs w:val="24"/>
          <w:lang w:val="en-US" w:eastAsia="zh-CN" w:bidi="zh-CN"/>
        </w:rPr>
        <w:t>11</w:t>
      </w:r>
      <w:r>
        <w:rPr>
          <w:rFonts w:hint="eastAsia" w:ascii="宋体" w:hAnsi="宋体" w:eastAsia="宋体" w:cs="宋体"/>
          <w:spacing w:val="-5"/>
          <w:sz w:val="24"/>
          <w:szCs w:val="24"/>
          <w:lang w:val="zh-CN" w:eastAsia="zh-CN" w:bidi="zh-CN"/>
        </w:rPr>
        <w:t>项，</w:t>
      </w:r>
      <w:r>
        <w:rPr>
          <w:rFonts w:hint="eastAsia" w:cs="宋体"/>
          <w:spacing w:val="-5"/>
          <w:sz w:val="24"/>
          <w:szCs w:val="24"/>
          <w:lang w:val="zh-CN" w:eastAsia="zh-CN" w:bidi="zh-CN"/>
        </w:rPr>
        <w:t>发明</w:t>
      </w:r>
      <w:r>
        <w:rPr>
          <w:rFonts w:hint="eastAsia" w:ascii="宋体" w:hAnsi="宋体" w:eastAsia="宋体" w:cs="宋体"/>
          <w:spacing w:val="-5"/>
          <w:sz w:val="24"/>
          <w:szCs w:val="24"/>
          <w:lang w:val="zh-CN" w:eastAsia="zh-CN" w:bidi="zh-CN"/>
        </w:rPr>
        <w:t>专利</w:t>
      </w:r>
      <w:r>
        <w:rPr>
          <w:rFonts w:hint="eastAsia" w:cs="宋体"/>
          <w:spacing w:val="-5"/>
          <w:sz w:val="24"/>
          <w:szCs w:val="24"/>
          <w:lang w:val="en-US" w:eastAsia="zh-CN" w:bidi="zh-CN"/>
        </w:rPr>
        <w:t>7</w:t>
      </w:r>
      <w:r>
        <w:rPr>
          <w:rFonts w:hint="eastAsia" w:ascii="宋体" w:hAnsi="宋体" w:eastAsia="宋体" w:cs="宋体"/>
          <w:spacing w:val="-5"/>
          <w:sz w:val="24"/>
          <w:szCs w:val="24"/>
          <w:lang w:val="zh-CN" w:eastAsia="zh-CN" w:bidi="zh-CN"/>
        </w:rPr>
        <w:t>项。</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此外，公司完善的质量控制管理体系有效保证了产品质量的稳定，已制定了多项具体的质量控制措施，涵盖了从产品设计、原材料采购、产品制造、产品检验、性能测试、包装储运到客户服务等全过程等各个环节，对各部门的质量控制工作进行有效的指导和监督；同时，公司以满足客户要求作为标准，由各专门部门负责，认真抓好产品质量的持续改进工作。</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e）推进品牌建设，提高产品质量和服务水平</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为推进品牌建设，公司依据发展战略目标，制定了相应的品牌发展规划，通过积极参与行业协会活动、主导行业标准制定、加大技术创新投入、完善渠道建设及售后服务等方式不断提高产品质量和服务水平。</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创立至今，在取得众多成就的同时，不断强化风险意识，推动组织的持续经营。为此，公司经营管理团队严格把控各部门工作中可能存在的风险点，密切关注外部环境中的潜在风险因素，积极采取风险预防措施，在国家政策、市场需求、产品质量、财务资金、运营管理等方面严格推行风险监测与保持风险敏感性，高层领导不断向公司各级员工灌输风险意识，强调市场竞争的残酷性及环境的复杂性，最小化各种潜在风险对公司的影响。在内部运营风险管理方面，公司对主要内部运营风险评价指标进行识别并采取预防措施，如财务管理每年定期对应收账款进行动态跟踪与管理，防范呆账和坏账风险。</w:t>
      </w:r>
    </w:p>
    <w:p>
      <w:pPr>
        <w:pStyle w:val="4"/>
        <w:spacing w:before="166" w:line="360" w:lineRule="auto"/>
        <w:ind w:right="359" w:firstLine="480"/>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图表</w:t>
      </w:r>
      <w:r>
        <w:rPr>
          <w:rFonts w:hint="eastAsia" w:ascii="宋体" w:hAnsi="宋体" w:eastAsia="宋体" w:cs="宋体"/>
          <w:spacing w:val="-5"/>
          <w:sz w:val="24"/>
          <w:szCs w:val="24"/>
          <w:lang w:val="en-US" w:eastAsia="zh-CN" w:bidi="zh-CN"/>
        </w:rPr>
        <w:t>2</w:t>
      </w:r>
      <w:r>
        <w:rPr>
          <w:rFonts w:hint="eastAsia" w:ascii="宋体" w:hAnsi="宋体" w:eastAsia="宋体" w:cs="宋体"/>
          <w:spacing w:val="-5"/>
          <w:sz w:val="24"/>
          <w:szCs w:val="24"/>
          <w:lang w:val="zh-CN" w:eastAsia="zh-CN" w:bidi="zh-CN"/>
        </w:rPr>
        <w:t>.1-</w:t>
      </w:r>
      <w:r>
        <w:rPr>
          <w:rFonts w:hint="eastAsia" w:ascii="宋体" w:hAnsi="宋体" w:eastAsia="宋体" w:cs="宋体"/>
          <w:spacing w:val="-5"/>
          <w:sz w:val="24"/>
          <w:szCs w:val="24"/>
          <w:lang w:val="zh-CN" w:eastAsia="zh-CN" w:bidi="zh-CN"/>
        </w:rPr>
        <w:fldChar w:fldCharType="begin"/>
      </w:r>
      <w:r>
        <w:rPr>
          <w:rFonts w:hint="eastAsia" w:ascii="宋体" w:hAnsi="宋体" w:eastAsia="宋体" w:cs="宋体"/>
          <w:spacing w:val="-5"/>
          <w:sz w:val="24"/>
          <w:szCs w:val="24"/>
          <w:lang w:val="zh-CN" w:eastAsia="zh-CN" w:bidi="zh-CN"/>
        </w:rPr>
        <w:instrText xml:space="preserve"> SEQ 图表4.1- \* ARABIC </w:instrText>
      </w:r>
      <w:r>
        <w:rPr>
          <w:rFonts w:hint="eastAsia" w:ascii="宋体" w:hAnsi="宋体" w:eastAsia="宋体" w:cs="宋体"/>
          <w:spacing w:val="-5"/>
          <w:sz w:val="24"/>
          <w:szCs w:val="24"/>
          <w:lang w:val="zh-CN" w:eastAsia="zh-CN" w:bidi="zh-CN"/>
        </w:rPr>
        <w:fldChar w:fldCharType="separate"/>
      </w:r>
      <w:r>
        <w:rPr>
          <w:rFonts w:hint="eastAsia" w:ascii="宋体" w:hAnsi="宋体" w:eastAsia="宋体" w:cs="宋体"/>
          <w:spacing w:val="-5"/>
          <w:sz w:val="24"/>
          <w:szCs w:val="24"/>
          <w:lang w:val="zh-CN" w:eastAsia="zh-CN" w:bidi="zh-CN"/>
        </w:rPr>
        <w:t>6</w:t>
      </w:r>
      <w:r>
        <w:rPr>
          <w:rFonts w:hint="eastAsia" w:ascii="宋体" w:hAnsi="宋体" w:eastAsia="宋体" w:cs="宋体"/>
          <w:spacing w:val="-5"/>
          <w:sz w:val="24"/>
          <w:szCs w:val="24"/>
          <w:lang w:val="zh-CN" w:eastAsia="zh-CN" w:bidi="zh-CN"/>
        </w:rPr>
        <w:fldChar w:fldCharType="end"/>
      </w:r>
      <w:r>
        <w:rPr>
          <w:rFonts w:hint="eastAsia" w:ascii="宋体" w:hAnsi="宋体" w:eastAsia="宋体" w:cs="宋体"/>
          <w:spacing w:val="-5"/>
          <w:sz w:val="24"/>
          <w:szCs w:val="24"/>
          <w:lang w:val="zh-CN" w:eastAsia="zh-CN" w:bidi="zh-CN"/>
        </w:rPr>
        <w:t xml:space="preserve"> </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风险管理所采取的行动示例</w:t>
      </w:r>
    </w:p>
    <w:tbl>
      <w:tblPr>
        <w:tblStyle w:val="9"/>
        <w:tblW w:w="900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79"/>
        <w:gridCol w:w="1840"/>
        <w:gridCol w:w="2551"/>
        <w:gridCol w:w="39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0" w:hRule="atLeast"/>
          <w:tblHeader/>
          <w:jc w:val="center"/>
        </w:trPr>
        <w:tc>
          <w:tcPr>
            <w:tcW w:w="679" w:type="dxa"/>
            <w:shd w:val="clear" w:color="auto" w:fill="548DD4" w:themeFill="text2" w:themeFillTint="99"/>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风险类型</w:t>
            </w:r>
          </w:p>
        </w:tc>
        <w:tc>
          <w:tcPr>
            <w:tcW w:w="1840" w:type="dxa"/>
            <w:shd w:val="clear" w:color="auto" w:fill="548DD4" w:themeFill="text2" w:themeFillTint="99"/>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可能的负面影响</w:t>
            </w:r>
          </w:p>
        </w:tc>
        <w:tc>
          <w:tcPr>
            <w:tcW w:w="2551" w:type="dxa"/>
            <w:shd w:val="clear" w:color="auto" w:fill="548DD4" w:themeFill="text2" w:themeFillTint="99"/>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导致风险的主要因素</w:t>
            </w:r>
          </w:p>
        </w:tc>
        <w:tc>
          <w:tcPr>
            <w:tcW w:w="3933" w:type="dxa"/>
            <w:shd w:val="clear" w:color="auto" w:fill="548DD4" w:themeFill="text2" w:themeFillTint="99"/>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风险控制措施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经营风险</w:t>
            </w:r>
          </w:p>
        </w:tc>
        <w:tc>
          <w:tcPr>
            <w:tcW w:w="1840"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经营决策失误导致公司经营问题</w:t>
            </w:r>
          </w:p>
        </w:tc>
        <w:tc>
          <w:tcPr>
            <w:tcW w:w="2551"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产业政策变化、市场分析与定位不准、战略决策过程不合理等</w:t>
            </w:r>
          </w:p>
        </w:tc>
        <w:tc>
          <w:tcPr>
            <w:tcW w:w="3933"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成立战略管理小组，完善战略管理流程，运用科学的战略分析与制定工具，确保战略落地；建立战略监控管理机制，定期动态调整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财务风险</w:t>
            </w:r>
          </w:p>
        </w:tc>
        <w:tc>
          <w:tcPr>
            <w:tcW w:w="1840"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财务危机，影响收益，导致经营困境</w:t>
            </w:r>
          </w:p>
        </w:tc>
        <w:tc>
          <w:tcPr>
            <w:tcW w:w="2551"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税收、汇率等财务环境变化，投资、筹资措施不科学，资金回收与管理不善，分配政策不规范</w:t>
            </w:r>
          </w:p>
        </w:tc>
        <w:tc>
          <w:tcPr>
            <w:tcW w:w="3933"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建立完善的财务管理体系，健全全面预算管理、建立财务风险管控机制、不断提升资金周转率和使用效率等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品牌风险</w:t>
            </w:r>
          </w:p>
        </w:tc>
        <w:tc>
          <w:tcPr>
            <w:tcW w:w="1840"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品牌损害</w:t>
            </w:r>
          </w:p>
        </w:tc>
        <w:tc>
          <w:tcPr>
            <w:tcW w:w="2551"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重大质量事故或因舆情监控管理不当导致</w:t>
            </w:r>
          </w:p>
        </w:tc>
        <w:tc>
          <w:tcPr>
            <w:tcW w:w="3933"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持续完善内部品牌管理过程，建立舆情监控系统，维护品牌知名度与美誉度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质量风险</w:t>
            </w:r>
          </w:p>
        </w:tc>
        <w:tc>
          <w:tcPr>
            <w:tcW w:w="1840"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法律追责、产品失信</w:t>
            </w:r>
          </w:p>
        </w:tc>
        <w:tc>
          <w:tcPr>
            <w:tcW w:w="2551"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产品设计考虑不周、生产技术水平不够、生产过程把关不严</w:t>
            </w:r>
          </w:p>
        </w:tc>
        <w:tc>
          <w:tcPr>
            <w:tcW w:w="3933"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建立产品全生命周期管理体系，从设计-采购-生产-物流-营销-售后服务等全过程管控质量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安全风险</w:t>
            </w:r>
          </w:p>
        </w:tc>
        <w:tc>
          <w:tcPr>
            <w:tcW w:w="1840"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员工人身损害，资产损失，法律追责</w:t>
            </w:r>
          </w:p>
        </w:tc>
        <w:tc>
          <w:tcPr>
            <w:tcW w:w="2551"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全员安全意识不足、日常管理不规范、安全防护措施不到位</w:t>
            </w:r>
          </w:p>
        </w:tc>
        <w:tc>
          <w:tcPr>
            <w:tcW w:w="3933"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建立安全生产责任制，强化员工安全意识，定期开展安全生产培训，提升安全管理水平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环境风险</w:t>
            </w:r>
          </w:p>
        </w:tc>
        <w:tc>
          <w:tcPr>
            <w:tcW w:w="1840"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环境变化影响正常经营</w:t>
            </w:r>
          </w:p>
        </w:tc>
        <w:tc>
          <w:tcPr>
            <w:tcW w:w="2551"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气候恶劣变化、“三废”排放等</w:t>
            </w:r>
          </w:p>
        </w:tc>
        <w:tc>
          <w:tcPr>
            <w:tcW w:w="3933"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持续完善环境管理体系，每年开展关键场所环境影响因素的识别、评价和应对工作，建立方针、目标和管理方案等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jc w:val="center"/>
        </w:trPr>
        <w:tc>
          <w:tcPr>
            <w:tcW w:w="679"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市场风险</w:t>
            </w:r>
          </w:p>
        </w:tc>
        <w:tc>
          <w:tcPr>
            <w:tcW w:w="1840"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产品市场认可度降低、市场占有率降低</w:t>
            </w:r>
          </w:p>
        </w:tc>
        <w:tc>
          <w:tcPr>
            <w:tcW w:w="2551"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市场客户意见反馈处理不到位，产品售后服务不及时，产品上市管理不足</w:t>
            </w:r>
          </w:p>
        </w:tc>
        <w:tc>
          <w:tcPr>
            <w:tcW w:w="3933"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关注竞争对手、标杆企业的动态，分析市场竞争成功要素，努力形成自身核心竞争优势，把握市场变化，产品研发创新，并通过品牌营销，提升品牌形象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79"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人才风险</w:t>
            </w:r>
          </w:p>
        </w:tc>
        <w:tc>
          <w:tcPr>
            <w:tcW w:w="1840"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人才流失、后备人才不足、关键岗位人才缺失、人员工作积极性不足</w:t>
            </w:r>
          </w:p>
        </w:tc>
        <w:tc>
          <w:tcPr>
            <w:tcW w:w="2551"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人才选拔、培养、配置、激励机制不健全，人才梯队建设不到位</w:t>
            </w:r>
          </w:p>
        </w:tc>
        <w:tc>
          <w:tcPr>
            <w:tcW w:w="3933" w:type="dxa"/>
            <w:shd w:val="clear" w:color="auto" w:fill="F2F2F2"/>
            <w:vAlign w:val="center"/>
          </w:tcPr>
          <w:p>
            <w:pPr>
              <w:snapToGri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注重人员内部培训与外部引进；建立储备干部培养制度，并重点培养、考察，逐步培养企业核心人才及未来领导者</w:t>
            </w:r>
          </w:p>
        </w:tc>
      </w:tr>
    </w:tbl>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2）加强未来管理者培养，建立组织人才梯队</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为确保组织的延续性，根据人力资源发展规划，公司在人力资源管理过程中设定人才梯队建设这一关键绩效指标，定期开展人才盘点工作，识别组织的关键岗位及后备管理人员，对关键岗位继任者进行甄选、组织管理形式、培养方式、评估、晋升等内容进行梳理。</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同时，公司针对不同类型岗位开展针对性的培训，通过专业技能、管理学科等方面的培训提升综合素质，结合公司内部培训以及外部培训、岗位轮换等方式，不断提升各级领导者的综合领导力。</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g）定期评价组织绩效并不断提升改进</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1）建立科学的绩效评价体系以评价组织绩效</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高层领导从财务、顾客与市场、内部运营、学习与成长、战略管理等方面定期评估组织的绩效和能力，并适时调整，持续改进，追求卓越绩效，提升组织的应变能力。</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高层领导为了实现战略目标和行动计划，推行以目标管理为主的方法。每年的经营任务指标和方针确定后，将公司的年度经营任务目标化解成每季每月目标，向全体员工传达、分解，确保每一位员工都了解当年的目标任务。</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公司高层领导进行绩效评审，并对未完成的指标加以明确，并进行跟踪，及时掌握指标完成情况，必要时采取适当措施。</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通过年度形势分析会、年度战略研讨会、月度例会、绩效考核等方式，定期对关键绩效指标、战略经营情况、生产经营指标、日常运营情况进行审核、评价，以不断改进组织绩效，采取必要的行动。</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通过每月的成本、绩效考核、项目的分阶段例会等活动，对公司取得的阶段性经营结果、成功案例进行分析，及时总结，及时推广。</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领导在年度战略讨论期间确立下年度公司层面的总体目标，各个部门根据目标进行分解，制定各自的行动计划。本年度的行动计划由总经理签署后实施。每月举办一次业务工作会议，对目标进度进行回顾和比较，由负责人汇报工作情况及下一阶段的工作实施计划。同时，高层领导积极引入先进的管理工具。</w:t>
      </w:r>
    </w:p>
    <w:p>
      <w:pPr>
        <w:pStyle w:val="4"/>
        <w:spacing w:before="166" w:line="360" w:lineRule="auto"/>
        <w:ind w:right="359" w:firstLine="480"/>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图表</w:t>
      </w:r>
      <w:r>
        <w:rPr>
          <w:rFonts w:hint="eastAsia" w:ascii="宋体" w:hAnsi="宋体" w:eastAsia="宋体" w:cs="宋体"/>
          <w:spacing w:val="-5"/>
          <w:sz w:val="24"/>
          <w:szCs w:val="24"/>
          <w:lang w:val="en-US" w:eastAsia="zh-CN" w:bidi="zh-CN"/>
        </w:rPr>
        <w:t>2</w:t>
      </w:r>
      <w:r>
        <w:rPr>
          <w:rFonts w:hint="eastAsia" w:ascii="宋体" w:hAnsi="宋体" w:eastAsia="宋体" w:cs="宋体"/>
          <w:spacing w:val="-5"/>
          <w:sz w:val="24"/>
          <w:szCs w:val="24"/>
          <w:lang w:val="zh-CN" w:eastAsia="zh-CN" w:bidi="zh-CN"/>
        </w:rPr>
        <w:t>.1-</w:t>
      </w:r>
      <w:r>
        <w:rPr>
          <w:rFonts w:hint="eastAsia" w:ascii="宋体" w:hAnsi="宋体" w:eastAsia="宋体" w:cs="宋体"/>
          <w:spacing w:val="-5"/>
          <w:sz w:val="24"/>
          <w:szCs w:val="24"/>
          <w:lang w:val="zh-CN" w:eastAsia="zh-CN" w:bidi="zh-CN"/>
        </w:rPr>
        <w:fldChar w:fldCharType="begin"/>
      </w:r>
      <w:r>
        <w:rPr>
          <w:rFonts w:hint="eastAsia" w:ascii="宋体" w:hAnsi="宋体" w:eastAsia="宋体" w:cs="宋体"/>
          <w:spacing w:val="-5"/>
          <w:sz w:val="24"/>
          <w:szCs w:val="24"/>
          <w:lang w:val="zh-CN" w:eastAsia="zh-CN" w:bidi="zh-CN"/>
        </w:rPr>
        <w:instrText xml:space="preserve"> SEQ 图表4.1- \* ARABIC </w:instrText>
      </w:r>
      <w:r>
        <w:rPr>
          <w:rFonts w:hint="eastAsia" w:ascii="宋体" w:hAnsi="宋体" w:eastAsia="宋体" w:cs="宋体"/>
          <w:spacing w:val="-5"/>
          <w:sz w:val="24"/>
          <w:szCs w:val="24"/>
          <w:lang w:val="zh-CN" w:eastAsia="zh-CN" w:bidi="zh-CN"/>
        </w:rPr>
        <w:fldChar w:fldCharType="separate"/>
      </w:r>
      <w:r>
        <w:rPr>
          <w:rFonts w:hint="eastAsia" w:ascii="宋体" w:hAnsi="宋体" w:eastAsia="宋体" w:cs="宋体"/>
          <w:spacing w:val="-5"/>
          <w:sz w:val="24"/>
          <w:szCs w:val="24"/>
          <w:lang w:val="zh-CN" w:eastAsia="zh-CN" w:bidi="zh-CN"/>
        </w:rPr>
        <w:t>7</w:t>
      </w:r>
      <w:r>
        <w:rPr>
          <w:rFonts w:hint="eastAsia" w:ascii="宋体" w:hAnsi="宋体" w:eastAsia="宋体" w:cs="宋体"/>
          <w:spacing w:val="-5"/>
          <w:sz w:val="24"/>
          <w:szCs w:val="24"/>
          <w:lang w:val="zh-CN" w:eastAsia="zh-CN" w:bidi="zh-CN"/>
        </w:rPr>
        <w:fldChar w:fldCharType="end"/>
      </w:r>
      <w:r>
        <w:rPr>
          <w:rFonts w:hint="eastAsia" w:ascii="宋体" w:hAnsi="宋体" w:eastAsia="宋体" w:cs="宋体"/>
          <w:spacing w:val="-5"/>
          <w:sz w:val="24"/>
          <w:szCs w:val="24"/>
          <w:lang w:val="zh-CN" w:eastAsia="zh-CN" w:bidi="zh-CN"/>
        </w:rPr>
        <w:t xml:space="preserve"> 公司组织绩效评审方式示例</w:t>
      </w:r>
    </w:p>
    <w:tbl>
      <w:tblPr>
        <w:tblStyle w:val="9"/>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6"/>
        <w:gridCol w:w="3271"/>
        <w:gridCol w:w="2694"/>
        <w:gridCol w:w="1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356"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评价模块</w:t>
            </w:r>
          </w:p>
        </w:tc>
        <w:tc>
          <w:tcPr>
            <w:tcW w:w="3271"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评价内容</w:t>
            </w:r>
          </w:p>
        </w:tc>
        <w:tc>
          <w:tcPr>
            <w:tcW w:w="2694"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评价方法</w:t>
            </w:r>
          </w:p>
        </w:tc>
        <w:tc>
          <w:tcPr>
            <w:tcW w:w="1648" w:type="dxa"/>
            <w:tcBorders>
              <w:top w:val="single" w:color="auto" w:sz="4" w:space="0"/>
              <w:left w:val="single" w:color="auto" w:sz="4" w:space="0"/>
              <w:bottom w:val="single" w:color="auto" w:sz="4" w:space="0"/>
              <w:right w:val="single" w:color="auto" w:sz="4" w:space="0"/>
            </w:tcBorders>
            <w:shd w:val="clear" w:color="auto" w:fill="548DD4" w:themeFill="text2" w:themeFillTint="99"/>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评价周期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长短期绩效目标达成情况</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关键绩效指标达成情况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经营分析会议、总结会议等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月度、季度、半年度、年度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360" w:lineRule="auto"/>
              <w:rPr>
                <w:rFonts w:hint="eastAsia" w:ascii="宋体" w:hAnsi="宋体" w:eastAsia="宋体" w:cs="宋体"/>
                <w:spacing w:val="-5"/>
                <w:sz w:val="24"/>
                <w:szCs w:val="24"/>
                <w:lang w:val="zh-CN" w:eastAsia="zh-CN" w:bidi="zh-CN"/>
              </w:rPr>
            </w:pP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战略实施情况、战略调整</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战略研讨会</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竞争绩效</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主要指标与标杆和竞争对手对比</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对比分析等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restart"/>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体系管理有效性</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各项管理体系运行情况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运营部等部门内部审核</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次/半年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vMerge w:val="continue"/>
            <w:tcBorders>
              <w:top w:val="single" w:color="auto" w:sz="4" w:space="0"/>
              <w:left w:val="single" w:color="auto" w:sz="4" w:space="0"/>
              <w:bottom w:val="single" w:color="auto" w:sz="4" w:space="0"/>
              <w:right w:val="single" w:color="auto" w:sz="4" w:space="0"/>
            </w:tcBorders>
            <w:shd w:val="clear" w:color="auto" w:fill="F2F2F2"/>
            <w:vAlign w:val="center"/>
          </w:tcPr>
          <w:p>
            <w:pPr>
              <w:widowControl/>
              <w:spacing w:line="360" w:lineRule="auto"/>
              <w:rPr>
                <w:rFonts w:hint="eastAsia" w:ascii="宋体" w:hAnsi="宋体" w:eastAsia="宋体" w:cs="宋体"/>
                <w:spacing w:val="-5"/>
                <w:sz w:val="24"/>
                <w:szCs w:val="24"/>
                <w:lang w:val="zh-CN" w:eastAsia="zh-CN" w:bidi="zh-CN"/>
              </w:rPr>
            </w:pP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生产、消防安全及职业健康工作落实情况</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行政部、生产部等相关部门进行评审</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次/月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56"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社会责任</w:t>
            </w:r>
          </w:p>
        </w:tc>
        <w:tc>
          <w:tcPr>
            <w:tcW w:w="3271"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公益支持、相关方利益的保护等</w:t>
            </w:r>
          </w:p>
        </w:tc>
        <w:tc>
          <w:tcPr>
            <w:tcW w:w="2694"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各相关方信息反馈、公益支持计划完成情况等</w:t>
            </w:r>
          </w:p>
        </w:tc>
        <w:tc>
          <w:tcPr>
            <w:tcW w:w="1648" w:type="dxa"/>
            <w:tcBorders>
              <w:top w:val="single" w:color="auto" w:sz="4" w:space="0"/>
              <w:left w:val="single" w:color="auto" w:sz="4" w:space="0"/>
              <w:bottom w:val="single" w:color="auto" w:sz="4" w:space="0"/>
              <w:right w:val="single" w:color="auto" w:sz="4" w:space="0"/>
            </w:tcBorders>
            <w:shd w:val="clear" w:color="auto" w:fill="F2F2F2"/>
            <w:vAlign w:val="center"/>
          </w:tcPr>
          <w:p>
            <w:pPr>
              <w:adjustRightInd w:val="0"/>
              <w:spacing w:line="360" w:lineRule="auto"/>
              <w:jc w:val="center"/>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年度</w:t>
            </w:r>
          </w:p>
        </w:tc>
      </w:tr>
    </w:tbl>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2）确定和落实改进关键业务的优先次序，识别改进与创新机会</w:t>
      </w:r>
    </w:p>
    <w:p>
      <w:pPr>
        <w:pStyle w:val="4"/>
        <w:spacing w:before="166"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高层领导通过战略研讨会、管理评审会、定期的经营分析会等方式评价公司的关键绩效指标，以识别改进和创新的重点。根据绩效评审结果，按照与公司使命、愿景、目标、顾客满意度等相关性大小，确定改进问题，明确改进优先次序并识别创新机会，通过“立项”方式，明确责任部门和责任人，对改进计划采取重责考评限期改进等办法推进落实。一方面做好内部策划实施，另一方面及时沟通合作伙伴，以便步调一致，协同创新。</w:t>
      </w:r>
    </w:p>
    <w:p>
      <w:pPr>
        <w:pStyle w:val="2"/>
        <w:spacing w:line="360" w:lineRule="auto"/>
        <w:rPr>
          <w:rFonts w:hint="eastAsia" w:ascii="宋体" w:hAnsi="宋体" w:eastAsia="宋体" w:cs="宋体"/>
          <w:spacing w:val="-5"/>
          <w:sz w:val="24"/>
          <w:szCs w:val="24"/>
          <w:lang w:val="zh-CN" w:eastAsia="zh-CN" w:bidi="zh-CN"/>
        </w:rPr>
      </w:pPr>
      <w:bookmarkStart w:id="6" w:name="三、守法合规"/>
      <w:bookmarkEnd w:id="6"/>
      <w:bookmarkStart w:id="7" w:name="_Toc24531707"/>
      <w:r>
        <w:rPr>
          <w:rFonts w:hint="eastAsia" w:ascii="宋体" w:hAnsi="宋体" w:eastAsia="宋体" w:cs="宋体"/>
          <w:spacing w:val="-5"/>
          <w:sz w:val="24"/>
          <w:szCs w:val="24"/>
          <w:lang w:val="zh-CN" w:eastAsia="zh-CN" w:bidi="zh-CN"/>
        </w:rPr>
        <w:t>三、守法合规</w:t>
      </w:r>
      <w:bookmarkEnd w:id="7"/>
    </w:p>
    <w:p>
      <w:pPr>
        <w:pStyle w:val="4"/>
        <w:spacing w:before="6" w:line="360" w:lineRule="auto"/>
        <w:ind w:left="0"/>
        <w:rPr>
          <w:rFonts w:hint="eastAsia" w:ascii="宋体" w:hAnsi="宋体" w:eastAsia="宋体" w:cs="宋体"/>
          <w:spacing w:val="-5"/>
          <w:sz w:val="24"/>
          <w:szCs w:val="24"/>
          <w:lang w:val="zh-CN" w:eastAsia="zh-CN" w:bidi="zh-CN"/>
        </w:rPr>
      </w:pPr>
    </w:p>
    <w:p>
      <w:pPr>
        <w:pStyle w:val="4"/>
        <w:spacing w:line="360" w:lineRule="auto"/>
        <w:ind w:right="355"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公司遵守商业道德和法律规定，建立了完备的合规体系。</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合规体系包括内部合规制度、内部合规通报体系、内部监督制度和惩戒制度，重点关注环境、商业伦理、产品质量和供应链领域。</w:t>
      </w:r>
    </w:p>
    <w:p>
      <w:pPr>
        <w:pStyle w:val="4"/>
        <w:spacing w:line="360" w:lineRule="auto"/>
        <w:ind w:right="360"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员工遵循诚实守信、平等公正、符合法规、不谋私利、利益回避和信息保密等基本准则。对待同事平等尊重；对待客户以提供高品质的产品和服务为己任；对待供应商诚信公正寻求双赢。此外，公司设立了招标办公室，还要求员工在与政府等部门交易时必须要做到诚实、准确，严禁以公司或个人的名义向任何政府官员、党派等提供或许诺提供资金或财物以试图影响其决定。</w:t>
      </w:r>
    </w:p>
    <w:p>
      <w:pPr>
        <w:pStyle w:val="2"/>
        <w:spacing w:line="360" w:lineRule="auto"/>
        <w:rPr>
          <w:rFonts w:hint="eastAsia" w:ascii="宋体" w:hAnsi="宋体" w:eastAsia="宋体" w:cs="宋体"/>
          <w:spacing w:val="-5"/>
          <w:sz w:val="24"/>
          <w:szCs w:val="24"/>
          <w:lang w:val="zh-CN" w:eastAsia="zh-CN" w:bidi="zh-CN"/>
        </w:rPr>
      </w:pPr>
      <w:bookmarkStart w:id="8" w:name="四、回报股东"/>
      <w:bookmarkEnd w:id="8"/>
      <w:bookmarkStart w:id="9" w:name="_Toc24531708"/>
      <w:r>
        <w:rPr>
          <w:rFonts w:hint="eastAsia" w:ascii="宋体" w:hAnsi="宋体" w:eastAsia="宋体" w:cs="宋体"/>
          <w:spacing w:val="-5"/>
          <w:sz w:val="24"/>
          <w:szCs w:val="24"/>
          <w:lang w:val="zh-CN" w:eastAsia="zh-CN" w:bidi="zh-CN"/>
        </w:rPr>
        <w:t>四、回报股东</w:t>
      </w:r>
      <w:bookmarkEnd w:id="9"/>
    </w:p>
    <w:p>
      <w:pPr>
        <w:pStyle w:val="4"/>
        <w:spacing w:line="360" w:lineRule="auto"/>
        <w:ind w:left="0"/>
        <w:rPr>
          <w:rFonts w:hint="eastAsia" w:ascii="宋体" w:hAnsi="宋体" w:eastAsia="宋体" w:cs="宋体"/>
          <w:spacing w:val="-5"/>
          <w:sz w:val="24"/>
          <w:szCs w:val="24"/>
          <w:lang w:val="zh-CN" w:eastAsia="zh-CN" w:bidi="zh-CN"/>
        </w:rPr>
      </w:pPr>
    </w:p>
    <w:p>
      <w:pPr>
        <w:pStyle w:val="4"/>
        <w:spacing w:line="360" w:lineRule="auto"/>
        <w:ind w:right="240" w:firstLine="48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企业只有不断创造股东价值，才能吸引股东资本，实现稳步发展。有效地提升股东价值，能增强公司在资本市场的竞争力，同时也有利于公司的持续经营。企业的决策者应主动协助股东和投资者增加对企业的了解，唤起对企业的兴趣， 刺激投资者对企业的长期投资，在股东和投资者心目中树立良好的形象。</w:t>
      </w:r>
    </w:p>
    <w:p>
      <w:pPr>
        <w:pStyle w:val="13"/>
        <w:numPr>
          <w:ilvl w:val="1"/>
          <w:numId w:val="5"/>
        </w:numPr>
        <w:tabs>
          <w:tab w:val="left" w:pos="600"/>
        </w:tabs>
        <w:spacing w:before="3"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保障股东权益</w:t>
      </w:r>
    </w:p>
    <w:p>
      <w:pPr>
        <w:pStyle w:val="4"/>
        <w:spacing w:before="189"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始终坚持及时向债权人通报与其债权权益相关的重大信息，配合债权人了解公司有关财务、经营和管理等情况，进一步加强投资者关系管理工作。针对投资者关系管理中存在的薄弱环节，公司丰富和完善了公司的网站功能，建立网络、电话、邮件等多方位的沟通渠道，通过充分的信息披露加强与投资者的沟通， 促进投资者对公司的了解和认同，树立公司良好的市场形象与投资者营造良好的内外沟通运行环境，保证投资者关系的健康、融洽发展。</w:t>
      </w:r>
    </w:p>
    <w:p>
      <w:pPr>
        <w:pStyle w:val="2"/>
        <w:numPr>
          <w:ilvl w:val="0"/>
          <w:numId w:val="6"/>
        </w:numPr>
        <w:spacing w:line="360" w:lineRule="auto"/>
        <w:rPr>
          <w:rFonts w:hint="eastAsia" w:ascii="宋体" w:hAnsi="宋体" w:eastAsia="宋体" w:cs="宋体"/>
          <w:spacing w:val="-5"/>
          <w:sz w:val="24"/>
          <w:szCs w:val="24"/>
          <w:lang w:val="zh-CN" w:eastAsia="zh-CN" w:bidi="zh-CN"/>
        </w:rPr>
      </w:pPr>
      <w:bookmarkStart w:id="10" w:name="五、服务客户"/>
      <w:bookmarkEnd w:id="10"/>
      <w:bookmarkStart w:id="11" w:name="_Toc24531709"/>
      <w:r>
        <w:rPr>
          <w:rFonts w:hint="eastAsia" w:ascii="宋体" w:hAnsi="宋体" w:eastAsia="宋体" w:cs="宋体"/>
          <w:spacing w:val="-5"/>
          <w:sz w:val="24"/>
          <w:szCs w:val="24"/>
          <w:lang w:val="zh-CN" w:eastAsia="zh-CN" w:bidi="zh-CN"/>
        </w:rPr>
        <w:t>服务客户</w:t>
      </w:r>
      <w:bookmarkEnd w:id="11"/>
    </w:p>
    <w:p>
      <w:pPr>
        <w:pStyle w:val="2"/>
        <w:numPr>
          <w:ilvl w:val="0"/>
          <w:numId w:val="0"/>
        </w:numPr>
        <w:spacing w:line="360" w:lineRule="auto"/>
        <w:ind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很多客户对企业的评价当中相当多的原因不是由于产品质量服务等实质性问题，而是企业与客户之间的沟通不够。因此，与客户保持沟通、特别是高层的沟通渠道畅通是非常重要的，只有产品质量与服务质量双重保障才能获得客户的最终满意和认可。</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以机构改革为契机，从传统的产品制造商向现代化工业服务商转型，建立以市场为中心、以客户需求为重点的服务理念。机构改革后，运营部各自针对客户开展服务工作，不断优化服务流程，提升服务理念， 强化服务质量，急客户之所急，想客户之所想，在初期的工作中得到了客户的充分肯定。</w:t>
      </w:r>
    </w:p>
    <w:p>
      <w:pPr>
        <w:pStyle w:val="2"/>
        <w:numPr>
          <w:ilvl w:val="0"/>
          <w:numId w:val="7"/>
        </w:numPr>
        <w:spacing w:line="360" w:lineRule="auto"/>
        <w:rPr>
          <w:rFonts w:hint="eastAsia" w:ascii="宋体" w:hAnsi="宋体" w:eastAsia="宋体" w:cs="宋体"/>
          <w:spacing w:val="-5"/>
          <w:sz w:val="24"/>
          <w:szCs w:val="24"/>
          <w:lang w:val="zh-CN" w:eastAsia="zh-CN" w:bidi="zh-CN"/>
        </w:rPr>
      </w:pPr>
      <w:bookmarkStart w:id="12" w:name="六、造福员工"/>
      <w:bookmarkEnd w:id="12"/>
      <w:bookmarkStart w:id="13" w:name="_Toc24531710"/>
      <w:r>
        <w:rPr>
          <w:rFonts w:hint="eastAsia" w:ascii="宋体" w:hAnsi="宋体" w:eastAsia="宋体" w:cs="宋体"/>
          <w:spacing w:val="-5"/>
          <w:sz w:val="24"/>
          <w:szCs w:val="24"/>
          <w:lang w:val="zh-CN" w:eastAsia="zh-CN" w:bidi="zh-CN"/>
        </w:rPr>
        <w:t>造福员工</w:t>
      </w:r>
      <w:bookmarkEnd w:id="13"/>
    </w:p>
    <w:p>
      <w:pPr>
        <w:pStyle w:val="2"/>
        <w:numPr>
          <w:ilvl w:val="0"/>
          <w:numId w:val="0"/>
        </w:numPr>
        <w:spacing w:line="360" w:lineRule="auto"/>
        <w:ind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公司着力构建“以人为本、公平正义、敢于挑战、勇于创新、敢于担当”的企业文化，不断提升企业的软实力，让员工有尊严地工作和生活。</w:t>
      </w:r>
    </w:p>
    <w:p>
      <w:pPr>
        <w:pStyle w:val="13"/>
        <w:numPr>
          <w:ilvl w:val="1"/>
          <w:numId w:val="8"/>
        </w:numPr>
        <w:tabs>
          <w:tab w:val="left" w:pos="540"/>
        </w:tabs>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确保员工权益</w:t>
      </w:r>
    </w:p>
    <w:p>
      <w:pPr>
        <w:pStyle w:val="13"/>
        <w:numPr>
          <w:ilvl w:val="0"/>
          <w:numId w:val="0"/>
        </w:numPr>
        <w:tabs>
          <w:tab w:val="left" w:pos="540"/>
        </w:tabs>
        <w:spacing w:line="360" w:lineRule="auto"/>
        <w:ind w:left="120" w:leftChars="0"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在全球经济形势不稳定、变化多变的影响下，在公司身处逆境的时候，如何处理好职工利益和公司的利益关系，稳定队伍，凝聚人心，储备人才，是摆在公司管理层面前一个重要难题。员工是企业最宝贵的财富，企业的发展离不开员工的辛勤劳动，公司始终秉承企业与员工“共赢发展”的理念，在企业发展的同时，没有忘记对员工的回报，并致力于提高和改善员工的工作环境，职业发展平台以及合适的收入。</w:t>
      </w:r>
    </w:p>
    <w:p>
      <w:pPr>
        <w:pStyle w:val="13"/>
        <w:numPr>
          <w:ilvl w:val="0"/>
          <w:numId w:val="0"/>
        </w:numPr>
        <w:tabs>
          <w:tab w:val="left" w:pos="540"/>
        </w:tabs>
        <w:spacing w:line="360" w:lineRule="auto"/>
        <w:ind w:left="120" w:leftChars="0"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当前制造行业市场不景气，需求总量大幅减少，企业订单大幅下滑，严峻的经济环境给企业的生存带来了巨大压力，公司现有的人力资源素质和结构与经营规模失调，更与公司转型新模式的要求不匹配。在此情况下，企业不得不进行结 构调整，优化人力资源结构，推行减员增效。并采取多种方式竞争上岗。对于年纪大的员工企业不是简单的将其推向社会，而是尽最大的能力提高内退标准，企业内退员工工资标准高于行业和地区的标准，能够满足内退人员的基本生活保障。公司在减员增效过程中，未发生任何影响企业稳定、社会稳定的不良事件。</w:t>
      </w:r>
    </w:p>
    <w:p>
      <w:pPr>
        <w:pStyle w:val="13"/>
        <w:numPr>
          <w:ilvl w:val="1"/>
          <w:numId w:val="8"/>
        </w:numPr>
        <w:tabs>
          <w:tab w:val="left" w:pos="540"/>
        </w:tabs>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重视职业健康安全</w:t>
      </w:r>
    </w:p>
    <w:p>
      <w:pPr>
        <w:pStyle w:val="13"/>
        <w:numPr>
          <w:ilvl w:val="0"/>
          <w:numId w:val="0"/>
        </w:numPr>
        <w:tabs>
          <w:tab w:val="left" w:pos="540"/>
        </w:tabs>
        <w:spacing w:line="360" w:lineRule="auto"/>
        <w:ind w:left="120" w:leftChars="0"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公司始终坚持“</w:t>
      </w:r>
      <w:r>
        <w:rPr>
          <w:rFonts w:hint="eastAsia" w:cs="宋体" w:asciiTheme="minorEastAsia" w:hAnsiTheme="minorEastAsia" w:eastAsiaTheme="minorEastAsia"/>
          <w:color w:val="000000" w:themeColor="text1"/>
          <w:sz w:val="24"/>
          <w:szCs w:val="24"/>
          <w:lang w:eastAsia="zh-CN"/>
        </w:rPr>
        <w:t>管理创新，质量第一，顾客至上，诚信守约；遵守法规，增强意识，全员参与，持续改进</w:t>
      </w:r>
      <w:r>
        <w:rPr>
          <w:rFonts w:hint="eastAsia" w:ascii="宋体" w:hAnsi="宋体" w:eastAsia="宋体" w:cs="宋体"/>
          <w:spacing w:val="-5"/>
          <w:sz w:val="24"/>
          <w:szCs w:val="24"/>
          <w:lang w:val="zh-CN" w:eastAsia="zh-CN" w:bidi="zh-CN"/>
        </w:rPr>
        <w:t>”的方针，以超前预防作为安全工作的核心，以安全生产责任制为重点，以安全评价、考核、责任追究和过程动态控制为手段，以安全教育培训为保障，以安全生产标准化为主体，建立安全生产的长效机制</w:t>
      </w:r>
      <w:r>
        <w:rPr>
          <w:rFonts w:hint="eastAsia" w:cs="宋体"/>
          <w:spacing w:val="-5"/>
          <w:sz w:val="24"/>
          <w:szCs w:val="24"/>
          <w:lang w:val="zh-CN" w:eastAsia="zh-CN" w:bidi="zh-CN"/>
        </w:rPr>
        <w:t>。</w:t>
      </w:r>
    </w:p>
    <w:p>
      <w:pPr>
        <w:pStyle w:val="13"/>
        <w:numPr>
          <w:ilvl w:val="0"/>
          <w:numId w:val="0"/>
        </w:numPr>
        <w:tabs>
          <w:tab w:val="left" w:pos="540"/>
        </w:tabs>
        <w:spacing w:line="360" w:lineRule="auto"/>
        <w:ind w:left="120" w:leftChars="0"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十分重视、关爱员工的健康，除了按照国家及地方有关社会保险方面的法律、法规参加社会养老保险、基本医疗保险、工伤保险、生育险等社会保险外，为进一步解决职工对医疗、健康的需求，为全体员工购买商业保险的补充医疗保险，为出差员工购买意外伤害保险，让职工更多的享受医疗保障，适度减轻个人住院费用负担、解决特殊工种岗位疾病导致的经济损失、补偿经常出差在外职工疾病、意外伤害和乘坐交通工具所引发的风险带来的损失，尽力完善员工的保障范围，免除员工的后顾之忧。</w:t>
      </w:r>
    </w:p>
    <w:p>
      <w:pPr>
        <w:pStyle w:val="13"/>
        <w:numPr>
          <w:ilvl w:val="0"/>
          <w:numId w:val="0"/>
        </w:numPr>
        <w:tabs>
          <w:tab w:val="left" w:pos="540"/>
        </w:tabs>
        <w:spacing w:line="360" w:lineRule="auto"/>
        <w:ind w:left="120" w:leftChars="0"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公司也十分重视职工群众的身心健康，内部成立的各类文娱小组，积极开展活动，并组织了包括篮球、羽毛球、健身操等多场比赛。职工可以根据自己的爱好特长和情趣，加入协会， 展示自己的才华，提升品味，充实精神生活，既活跃了职工的精神生活，也增强了企业的向心力和凝聚力。</w:t>
      </w:r>
    </w:p>
    <w:p>
      <w:pPr>
        <w:pStyle w:val="13"/>
        <w:numPr>
          <w:ilvl w:val="1"/>
          <w:numId w:val="8"/>
        </w:numPr>
        <w:tabs>
          <w:tab w:val="left" w:pos="540"/>
        </w:tabs>
        <w:spacing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拓展员工职业成长</w:t>
      </w:r>
    </w:p>
    <w:p>
      <w:pPr>
        <w:pStyle w:val="13"/>
        <w:numPr>
          <w:ilvl w:val="0"/>
          <w:numId w:val="0"/>
        </w:numPr>
        <w:tabs>
          <w:tab w:val="left" w:pos="540"/>
        </w:tabs>
        <w:spacing w:line="360" w:lineRule="auto"/>
        <w:ind w:left="120" w:leftChars="0"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随着公司产品结构优化调整步伐加快以及尽快提高公司技术创新能力，适应市场对科技人才的需求，现有技术人员资源已不能满足公司发展的需要，为保证公司各技术岗位能够及时有效地补充所需的优秀人才，适时、适度、适量地招收一批不同地区不同学校的优秀大中专应届毕业生，并加以培养，使其尽快胜任工作，解决公司现有人力资源不足，改善公司人才结构，提高公司人才创新能力。</w:t>
      </w:r>
    </w:p>
    <w:p>
      <w:pPr>
        <w:pStyle w:val="4"/>
        <w:spacing w:before="4" w:line="360" w:lineRule="auto"/>
        <w:ind w:right="240" w:firstLine="48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在招聘引进人才的同时，注重人才培养措施，根据公司发展的需要和稳定人才的工作实际，建立技术、管理、技能人才骨干队伍，争取逐步形成结构合理、高效精干的人才队伍群体，以满足公司参与市场竞争和追赶世界先进水平的需要。为此，企业制定了人才培养措施和人才培训计划，确立“人才经营”和“逐级育人”的理念，面向市场和研发，实施人力结构调整，着力建设后备人才库、开发分类课程、优化内部讲师队伍、打造校企合作基地、依托网络系统搭建</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网络学习平台，重点实施营销人才、核心管理人才、关键技术人才、重点高技能人才、班组长、三年以内新员工、第二能力开发等几大人才培育专项工程。这些措施计划，有利于增强人才队伍的责任感和使命感，强化企业荣誉感和忠诚教育度，提高人才队伍的工作主动性、创造紧迫性，这不仅是公司发展需要，也是国家建设制造强国的需要。公司不断完善用人机制，大力营造一个良好的施才环境，加大优秀人才的引进力度，以待遇吸引人，以事业留住人，以感情打动人。采取多种渠道发现、培养、造就人才，实施“走出去、引进来”两条腿走路方略， 促进人才队伍技术技能素质的迅速提升。</w:t>
      </w:r>
    </w:p>
    <w:p>
      <w:pPr>
        <w:pStyle w:val="13"/>
        <w:numPr>
          <w:ilvl w:val="1"/>
          <w:numId w:val="8"/>
        </w:numPr>
        <w:tabs>
          <w:tab w:val="left" w:pos="540"/>
        </w:tabs>
        <w:spacing w:before="12" w:line="360" w:lineRule="auto"/>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完善管理体制与软环境建设</w:t>
      </w:r>
    </w:p>
    <w:p>
      <w:pPr>
        <w:pStyle w:val="4"/>
        <w:spacing w:before="4" w:line="360" w:lineRule="auto"/>
        <w:ind w:right="240" w:firstLine="48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公司建立了以人为本的人力资源开发和管理工作系统、激励机制和员工培训</w:t>
      </w:r>
    </w:p>
    <w:p>
      <w:pPr>
        <w:pStyle w:val="4"/>
        <w:spacing w:before="4" w:line="360" w:lineRule="auto"/>
        <w:ind w:left="0" w:leftChars="0" w:right="240" w:firstLine="0" w:firstLineChars="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与教育体系。公司始终坚持观念创新、制度创新的原则，创造一种公平、公正、公开的氛围，建立一套充分发挥个人潜能的机制，提供一个充分实现自我价值的发展空间。公司人力资源部对各部门岗位进行普查，并进行关键岗位识别，加大对关键岗位的人力资源配置和管理，建设公司后备人才梯队，完善人才引入制度， 形成“能吸引、有门槛、留得住、有限制”的合理化人力资源管理。</w:t>
      </w:r>
    </w:p>
    <w:p>
      <w:pPr>
        <w:pStyle w:val="4"/>
        <w:spacing w:before="4" w:line="360" w:lineRule="auto"/>
        <w:ind w:right="355"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人才的培养离不开软环境和硬环境的建设，软环境方面，加强技术人员、管理人员、技术工人的团队建设，团队作为一个集体，是一个企业发展和竞争的核心力量，企业与企业之间的竞争，关键是团队与团队之间的竞争，通过领导协调， 各团队分工合作，互敬、互爱、互助、互学，逐渐磨合，形成优势互补、取长补短，相互克服、相互激发，最终实现最高的工作效率。</w:t>
      </w:r>
    </w:p>
    <w:p>
      <w:pPr>
        <w:pStyle w:val="13"/>
        <w:numPr>
          <w:ilvl w:val="1"/>
          <w:numId w:val="8"/>
        </w:numPr>
        <w:tabs>
          <w:tab w:val="left" w:pos="540"/>
        </w:tabs>
        <w:spacing w:before="6" w:line="360" w:lineRule="auto"/>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构建祥和工作氛围</w:t>
      </w:r>
    </w:p>
    <w:p>
      <w:pPr>
        <w:pStyle w:val="13"/>
        <w:numPr>
          <w:ilvl w:val="0"/>
          <w:numId w:val="0"/>
        </w:numPr>
        <w:tabs>
          <w:tab w:val="left" w:pos="540"/>
        </w:tabs>
        <w:spacing w:before="6" w:line="360" w:lineRule="auto"/>
        <w:ind w:left="120" w:leftChars="0" w:firstLine="460" w:firstLineChars="20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十分注重调动全体员工的积极性，在推出与员工切身利益密切相关的政策、规定时，公司都通过座谈会、协商会、专题调研等形式，广泛听取意见。对职工反映的问题进行认真地调查并通过职工代表大会方式进行讨论、研究，给予解决和答复，使广大员工感受到自己是企业的主人，企业是自己的家。为使员工了解企业的经营情况、发展战略、改革措施等重大事项，搭建员工与高层管理人员的有效沟通平台和渠道。公司工会制定了员工定期座谈会管理办法， 每月有固定时间定为员工接待日，听取员工对公司发展过程中的意见和建议及员工最关心、最直接的问题和意见，解答员工的凝问。</w:t>
      </w:r>
    </w:p>
    <w:p>
      <w:pPr>
        <w:pStyle w:val="4"/>
        <w:spacing w:before="9"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同时，通过举办多种多样的文艺活动、体育竞赛、素质拓展、培训讨论等活动来增强员工凝聚力和向心力，提高员工身心素质。家庭是企业的细胞，只有职工家庭唱响和谐之音，职工才能全力以赴地投入到工作中，企业才能实现稳定发展。公司深入实施文明家庭创建工程，努力构建和谐稳定家园，为公司的稳定健康发展创造安定向上的良好氛围。</w:t>
      </w:r>
    </w:p>
    <w:p>
      <w:pPr>
        <w:pStyle w:val="2"/>
        <w:numPr>
          <w:ilvl w:val="0"/>
          <w:numId w:val="9"/>
        </w:numPr>
        <w:spacing w:line="360" w:lineRule="auto"/>
        <w:rPr>
          <w:rFonts w:hint="eastAsia" w:ascii="宋体" w:hAnsi="宋体" w:eastAsia="宋体" w:cs="宋体"/>
          <w:spacing w:val="-5"/>
          <w:sz w:val="24"/>
          <w:szCs w:val="24"/>
          <w:lang w:val="zh-CN" w:eastAsia="zh-CN" w:bidi="zh-CN"/>
        </w:rPr>
      </w:pPr>
      <w:bookmarkStart w:id="14" w:name="七、奉献社会"/>
      <w:bookmarkEnd w:id="14"/>
      <w:bookmarkStart w:id="15" w:name="_Toc24531711"/>
      <w:r>
        <w:rPr>
          <w:rFonts w:hint="eastAsia" w:ascii="宋体" w:hAnsi="宋体" w:eastAsia="宋体" w:cs="宋体"/>
          <w:spacing w:val="-5"/>
          <w:sz w:val="24"/>
          <w:szCs w:val="24"/>
          <w:lang w:val="zh-CN" w:eastAsia="zh-CN" w:bidi="zh-CN"/>
        </w:rPr>
        <w:t>奉献社会</w:t>
      </w:r>
      <w:bookmarkEnd w:id="15"/>
    </w:p>
    <w:p>
      <w:pPr>
        <w:pStyle w:val="2"/>
        <w:numPr>
          <w:ilvl w:val="0"/>
          <w:numId w:val="0"/>
        </w:numPr>
        <w:spacing w:line="360" w:lineRule="auto"/>
        <w:ind w:firstLine="460" w:firstLineChars="20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公司发展离不开社会各界的支持，同时公司对社会也应履行社会责任。公司领导十分重视公益支持，积极主动履行公共责任，回报社会。</w:t>
      </w:r>
    </w:p>
    <w:p>
      <w:pPr>
        <w:pStyle w:val="2"/>
        <w:numPr>
          <w:ilvl w:val="0"/>
          <w:numId w:val="0"/>
        </w:numPr>
        <w:spacing w:line="360" w:lineRule="auto"/>
        <w:ind w:firstLine="460" w:firstLineChars="200"/>
        <w:rPr>
          <w:rFonts w:hint="eastAsia" w:ascii="宋体" w:hAnsi="宋体" w:eastAsia="宋体" w:cs="宋体"/>
          <w:spacing w:val="-5"/>
          <w:sz w:val="24"/>
          <w:szCs w:val="24"/>
          <w:lang w:val="en-US" w:eastAsia="zh-CN" w:bidi="zh-CN"/>
        </w:rPr>
      </w:pPr>
      <w:r>
        <w:rPr>
          <w:rFonts w:hint="eastAsia" w:ascii="宋体" w:hAnsi="宋体" w:eastAsia="宋体" w:cs="宋体"/>
          <w:spacing w:val="-5"/>
          <w:sz w:val="24"/>
          <w:szCs w:val="24"/>
          <w:lang w:val="zh-CN" w:eastAsia="zh-CN" w:bidi="zh-CN"/>
        </w:rPr>
        <w:t>结合公司的发展战略，在公司战略规划上，专门规划出部分资金用于的公益活动。公司领导以身作则积极参与社会的公益活动，如积极赞助</w:t>
      </w:r>
      <w:r>
        <w:rPr>
          <w:rFonts w:hint="eastAsia" w:ascii="宋体" w:hAnsi="宋体" w:eastAsia="宋体" w:cs="宋体"/>
          <w:spacing w:val="-5"/>
          <w:sz w:val="24"/>
          <w:szCs w:val="24"/>
          <w:lang w:val="en-US" w:eastAsia="zh-CN" w:bidi="zh-CN"/>
        </w:rPr>
        <w:t>范宅村的慈善</w:t>
      </w:r>
      <w:r>
        <w:rPr>
          <w:rFonts w:hint="eastAsia" w:ascii="宋体" w:hAnsi="宋体" w:eastAsia="宋体" w:cs="宋体"/>
          <w:spacing w:val="-5"/>
          <w:sz w:val="24"/>
          <w:szCs w:val="24"/>
          <w:lang w:val="zh-CN" w:eastAsia="zh-CN" w:bidi="zh-CN"/>
        </w:rPr>
        <w:t>捐赠，</w:t>
      </w:r>
      <w:r>
        <w:rPr>
          <w:rFonts w:hint="eastAsia" w:ascii="宋体" w:hAnsi="宋体" w:eastAsia="宋体" w:cs="宋体"/>
          <w:spacing w:val="-5"/>
          <w:sz w:val="24"/>
          <w:szCs w:val="24"/>
          <w:lang w:val="en-US" w:eastAsia="zh-CN" w:bidi="zh-CN"/>
        </w:rPr>
        <w:t>支持范宅村的疫情防控等等。</w:t>
      </w:r>
    </w:p>
    <w:p>
      <w:pPr>
        <w:jc w:val="center"/>
        <w:rPr>
          <w:rFonts w:hint="eastAsia"/>
          <w:lang w:val="en-US" w:eastAsia="zh-CN"/>
        </w:rPr>
      </w:pPr>
      <w:r>
        <w:rPr>
          <w:rFonts w:hint="eastAsia"/>
          <w:lang w:val="en-US" w:eastAsia="zh-CN"/>
        </w:rPr>
        <w:drawing>
          <wp:inline distT="0" distB="0" distL="114300" distR="114300">
            <wp:extent cx="4376420" cy="2103120"/>
            <wp:effectExtent l="0" t="0" r="5080" b="11430"/>
            <wp:docPr id="1" name="图片 1" descr="1710948979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710948979328"/>
                    <pic:cNvPicPr>
                      <a:picLocks noChangeAspect="1"/>
                    </pic:cNvPicPr>
                  </pic:nvPicPr>
                  <pic:blipFill>
                    <a:blip r:embed="rId7"/>
                    <a:stretch>
                      <a:fillRect/>
                    </a:stretch>
                  </pic:blipFill>
                  <pic:spPr>
                    <a:xfrm>
                      <a:off x="0" y="0"/>
                      <a:ext cx="4376420" cy="2103120"/>
                    </a:xfrm>
                    <a:prstGeom prst="rect">
                      <a:avLst/>
                    </a:prstGeom>
                  </pic:spPr>
                </pic:pic>
              </a:graphicData>
            </a:graphic>
          </wp:inline>
        </w:drawing>
      </w:r>
    </w:p>
    <w:p>
      <w:pPr>
        <w:pStyle w:val="2"/>
        <w:spacing w:line="360" w:lineRule="auto"/>
        <w:rPr>
          <w:rFonts w:hint="eastAsia" w:ascii="宋体" w:hAnsi="宋体" w:eastAsia="宋体" w:cs="宋体"/>
          <w:spacing w:val="-5"/>
          <w:sz w:val="24"/>
          <w:szCs w:val="24"/>
          <w:lang w:val="zh-CN" w:eastAsia="zh-CN" w:bidi="zh-CN"/>
        </w:rPr>
      </w:pPr>
      <w:bookmarkStart w:id="16" w:name="八、合作伙伴"/>
      <w:bookmarkEnd w:id="16"/>
      <w:bookmarkStart w:id="17" w:name="_Toc24531712"/>
      <w:r>
        <w:rPr>
          <w:rFonts w:hint="eastAsia" w:ascii="宋体" w:hAnsi="宋体" w:eastAsia="宋体" w:cs="宋体"/>
          <w:spacing w:val="-5"/>
          <w:sz w:val="24"/>
          <w:szCs w:val="24"/>
          <w:lang w:val="zh-CN" w:eastAsia="zh-CN" w:bidi="zh-CN"/>
        </w:rPr>
        <w:t>八、合作伙伴</w:t>
      </w:r>
      <w:bookmarkEnd w:id="17"/>
    </w:p>
    <w:p>
      <w:pPr>
        <w:pStyle w:val="4"/>
        <w:spacing w:line="360" w:lineRule="auto"/>
        <w:ind w:right="359" w:firstLine="48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每一个伙伴关系都有其独特的成功因素，这与公司独特的环境相关联。然而在不同产业国家与市场中，每个成功企业的业绩后面，有三个共同的因素存在于每个成功的伙伴关系中：贡献、亲密、远景。这三个因素是促使伙伴关系成功不可或缺的因素。</w:t>
      </w:r>
    </w:p>
    <w:p>
      <w:pPr>
        <w:pStyle w:val="13"/>
        <w:numPr>
          <w:ilvl w:val="1"/>
          <w:numId w:val="10"/>
        </w:numPr>
        <w:tabs>
          <w:tab w:val="left" w:pos="540"/>
        </w:tabs>
        <w:spacing w:before="2" w:line="360" w:lineRule="auto"/>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共享共赢</w:t>
      </w:r>
    </w:p>
    <w:p>
      <w:pPr>
        <w:pStyle w:val="13"/>
        <w:numPr>
          <w:ilvl w:val="0"/>
          <w:numId w:val="0"/>
        </w:numPr>
        <w:tabs>
          <w:tab w:val="left" w:pos="540"/>
        </w:tabs>
        <w:spacing w:before="2" w:line="360" w:lineRule="auto"/>
        <w:ind w:left="120" w:leftChars="0" w:firstLine="460" w:firstLineChars="20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公司早年就推行供应商整合调整项目，即培养一批优秀的供应商， 合并或放弃一批零散繁杂的小供应商，使得供应商的积极性得到了充分发挥，公司与供应商的关系不再是简单的买卖关系，而是一种共生共荣，共享共赢的战略合作伙伴关系。目前，公司</w:t>
      </w:r>
      <w:r>
        <w:rPr>
          <w:rFonts w:hint="eastAsia" w:ascii="宋体" w:hAnsi="宋体" w:eastAsia="宋体" w:cs="宋体"/>
          <w:spacing w:val="-5"/>
          <w:sz w:val="24"/>
          <w:szCs w:val="24"/>
          <w:lang w:val="en-US" w:eastAsia="zh-CN" w:bidi="zh-CN"/>
        </w:rPr>
        <w:t>与该领域</w:t>
      </w:r>
      <w:r>
        <w:rPr>
          <w:rFonts w:hint="eastAsia" w:ascii="宋体" w:hAnsi="宋体" w:eastAsia="宋体" w:cs="宋体"/>
          <w:spacing w:val="-5"/>
          <w:sz w:val="24"/>
          <w:szCs w:val="24"/>
          <w:lang w:val="zh-CN" w:eastAsia="zh-CN" w:bidi="zh-CN"/>
        </w:rPr>
        <w:t>国内大型知名企业都建立了良好的合作关系。</w:t>
      </w:r>
    </w:p>
    <w:p>
      <w:pPr>
        <w:pStyle w:val="13"/>
        <w:numPr>
          <w:ilvl w:val="0"/>
          <w:numId w:val="0"/>
        </w:numPr>
        <w:tabs>
          <w:tab w:val="left" w:pos="540"/>
        </w:tabs>
        <w:spacing w:before="2" w:line="360" w:lineRule="auto"/>
        <w:jc w:val="both"/>
        <w:rPr>
          <w:rFonts w:hint="eastAsia" w:ascii="宋体" w:hAnsi="宋体" w:eastAsia="宋体" w:cs="宋体"/>
          <w:spacing w:val="-5"/>
          <w:sz w:val="24"/>
          <w:szCs w:val="24"/>
          <w:lang w:val="zh-CN" w:eastAsia="zh-CN" w:bidi="zh-CN"/>
        </w:rPr>
      </w:pPr>
      <w:r>
        <w:rPr>
          <w:rFonts w:hint="eastAsia" w:cs="宋体"/>
          <w:spacing w:val="-5"/>
          <w:sz w:val="24"/>
          <w:szCs w:val="24"/>
          <w:lang w:val="en-US" w:eastAsia="zh-CN" w:bidi="zh-CN"/>
        </w:rPr>
        <w:t xml:space="preserve">8.2 </w:t>
      </w:r>
      <w:r>
        <w:rPr>
          <w:rFonts w:hint="eastAsia" w:ascii="宋体" w:hAnsi="宋体" w:eastAsia="宋体" w:cs="宋体"/>
          <w:spacing w:val="-5"/>
          <w:sz w:val="24"/>
          <w:szCs w:val="24"/>
          <w:lang w:val="zh-CN" w:eastAsia="zh-CN" w:bidi="zh-CN"/>
        </w:rPr>
        <w:t>杜绝商业贿赂</w:t>
      </w:r>
    </w:p>
    <w:p>
      <w:pPr>
        <w:pStyle w:val="13"/>
        <w:numPr>
          <w:ilvl w:val="0"/>
          <w:numId w:val="0"/>
        </w:numPr>
        <w:tabs>
          <w:tab w:val="left" w:pos="540"/>
        </w:tabs>
        <w:spacing w:before="2" w:line="360" w:lineRule="auto"/>
        <w:ind w:firstLine="460" w:firstLineChars="20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随着公司的发展，供应商采购管理中的地位显得越来越重要。公司对供应商的选择是在ISO9001、ISO1400</w:t>
      </w:r>
      <w:r>
        <w:rPr>
          <w:rFonts w:hint="eastAsia" w:ascii="宋体" w:hAnsi="宋体" w:eastAsia="宋体" w:cs="宋体"/>
          <w:spacing w:val="-5"/>
          <w:sz w:val="24"/>
          <w:szCs w:val="24"/>
          <w:lang w:val="en-US" w:eastAsia="zh-CN" w:bidi="zh-CN"/>
        </w:rPr>
        <w:t>1</w:t>
      </w:r>
      <w:r>
        <w:rPr>
          <w:rFonts w:hint="eastAsia" w:ascii="宋体" w:hAnsi="宋体" w:eastAsia="宋体" w:cs="宋体"/>
          <w:spacing w:val="-5"/>
          <w:sz w:val="24"/>
          <w:szCs w:val="24"/>
          <w:lang w:val="zh-CN" w:eastAsia="zh-CN" w:bidi="zh-CN"/>
        </w:rPr>
        <w:t>、ISO45001三大体系文件的原则下进行的。公司固定资产购建、原辅材料采购、大宗办公用品采购以及闲置资产处置等原则上都采用招标方式进行采购。这不仅给供应商搭建一个公平、公开、公正的竞争平台，也对供应商的不断推陈出新、优胜劣汰建立了正常渠道，并且能有效杜绝商业贿赂，维护供应商的利益，保证了供应商队伍的健康发展，同时也保证了公司倡导的“阳光采购”工程建设。</w:t>
      </w:r>
      <w:bookmarkStart w:id="18" w:name="九、社会认可"/>
      <w:bookmarkEnd w:id="18"/>
      <w:bookmarkStart w:id="19" w:name="十、存在问题及改进"/>
      <w:bookmarkEnd w:id="19"/>
      <w:bookmarkStart w:id="20" w:name="_Toc24531713"/>
    </w:p>
    <w:p>
      <w:pPr>
        <w:pStyle w:val="13"/>
        <w:numPr>
          <w:ilvl w:val="0"/>
          <w:numId w:val="0"/>
        </w:numPr>
        <w:tabs>
          <w:tab w:val="left" w:pos="540"/>
        </w:tabs>
        <w:spacing w:before="2" w:line="360" w:lineRule="auto"/>
        <w:ind w:firstLine="460" w:firstLineChars="20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九、存在问题及改进</w:t>
      </w:r>
      <w:bookmarkEnd w:id="20"/>
    </w:p>
    <w:p>
      <w:pPr>
        <w:pStyle w:val="13"/>
        <w:numPr>
          <w:ilvl w:val="0"/>
          <w:numId w:val="0"/>
        </w:numPr>
        <w:tabs>
          <w:tab w:val="left" w:pos="540"/>
        </w:tabs>
        <w:spacing w:before="2" w:line="360" w:lineRule="auto"/>
        <w:ind w:firstLine="460" w:firstLineChars="200"/>
        <w:jc w:val="both"/>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公司在履行社会责任各方面做了大量的工作，但与相关规定仍存在差距。20</w:t>
      </w:r>
      <w:r>
        <w:rPr>
          <w:rFonts w:hint="eastAsia" w:ascii="宋体" w:hAnsi="宋体" w:eastAsia="宋体" w:cs="宋体"/>
          <w:spacing w:val="-5"/>
          <w:sz w:val="24"/>
          <w:szCs w:val="24"/>
          <w:lang w:val="en-US" w:eastAsia="zh-CN" w:bidi="zh-CN"/>
        </w:rPr>
        <w:t>2</w:t>
      </w:r>
      <w:r>
        <w:rPr>
          <w:rFonts w:hint="eastAsia" w:cs="宋体"/>
          <w:spacing w:val="-5"/>
          <w:sz w:val="24"/>
          <w:szCs w:val="24"/>
          <w:lang w:val="en-US" w:eastAsia="zh-CN" w:bidi="zh-CN"/>
        </w:rPr>
        <w:t>3</w:t>
      </w:r>
      <w:r>
        <w:rPr>
          <w:rFonts w:hint="eastAsia" w:ascii="宋体" w:hAnsi="宋体" w:eastAsia="宋体" w:cs="宋体"/>
          <w:spacing w:val="-5"/>
          <w:sz w:val="24"/>
          <w:szCs w:val="24"/>
          <w:lang w:val="zh-CN" w:eastAsia="zh-CN" w:bidi="zh-CN"/>
        </w:rPr>
        <w:t>年，经济下行压力增大，市场需求低迷，面对中国经济新常态下的发展， 不得不面对</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转型发展中的不适应：一是规模和效益方面：20</w:t>
      </w:r>
      <w:r>
        <w:rPr>
          <w:rFonts w:hint="eastAsia" w:ascii="宋体" w:hAnsi="宋体" w:eastAsia="宋体" w:cs="宋体"/>
          <w:spacing w:val="-5"/>
          <w:sz w:val="24"/>
          <w:szCs w:val="24"/>
          <w:lang w:val="en-US" w:eastAsia="zh-CN" w:bidi="zh-CN"/>
        </w:rPr>
        <w:t>2</w:t>
      </w:r>
      <w:r>
        <w:rPr>
          <w:rFonts w:hint="eastAsia" w:cs="宋体"/>
          <w:spacing w:val="-5"/>
          <w:sz w:val="24"/>
          <w:szCs w:val="24"/>
          <w:lang w:val="en-US" w:eastAsia="zh-CN" w:bidi="zh-CN"/>
        </w:rPr>
        <w:t>3</w:t>
      </w:r>
      <w:r>
        <w:rPr>
          <w:rFonts w:hint="eastAsia" w:ascii="宋体" w:hAnsi="宋体" w:eastAsia="宋体" w:cs="宋体"/>
          <w:spacing w:val="-5"/>
          <w:sz w:val="24"/>
          <w:szCs w:val="24"/>
          <w:lang w:val="zh-CN" w:eastAsia="zh-CN" w:bidi="zh-CN"/>
        </w:rPr>
        <w:t>年以来，公司整体经济效益增长趋势走低，公司经营管理有待进一步完善。二是人员结构和薪酬方面：人员结构优化结果与预期还有差距，薪酬结构和薪酬水平与规模和效益不匹配，有待进一步深化改革。三是国际化的竞争水平不高， 国际化战略刚见雏形、国际化市场资源配备不科学。四是商业模式传统并单一， 还未完全实现工业服务商转型。</w:t>
      </w:r>
    </w:p>
    <w:p>
      <w:pPr>
        <w:pStyle w:val="4"/>
        <w:spacing w:before="7" w:line="360" w:lineRule="auto"/>
        <w:ind w:right="359" w:firstLine="48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未来三年，是我们 “雄鹰展翅翱翔”之年。公司将继续专注于</w:t>
      </w:r>
      <w:r>
        <w:rPr>
          <w:rFonts w:hint="eastAsia" w:cs="宋体"/>
          <w:spacing w:val="-5"/>
          <w:sz w:val="24"/>
          <w:szCs w:val="24"/>
          <w:lang w:val="en-US" w:eastAsia="zh-CN" w:bidi="zh-CN"/>
        </w:rPr>
        <w:t>阻燃剂</w:t>
      </w:r>
      <w:r>
        <w:rPr>
          <w:rFonts w:hint="eastAsia" w:ascii="宋体" w:hAnsi="宋体" w:eastAsia="宋体" w:cs="宋体"/>
          <w:spacing w:val="-5"/>
          <w:sz w:val="24"/>
          <w:szCs w:val="24"/>
          <w:lang w:val="en-US" w:eastAsia="zh-CN" w:bidi="zh-CN"/>
        </w:rPr>
        <w:t>产品</w:t>
      </w:r>
      <w:r>
        <w:rPr>
          <w:rFonts w:hint="eastAsia" w:ascii="宋体" w:hAnsi="宋体" w:eastAsia="宋体" w:cs="宋体"/>
          <w:spacing w:val="-5"/>
          <w:sz w:val="24"/>
          <w:szCs w:val="24"/>
          <w:lang w:val="zh-CN" w:eastAsia="zh-CN" w:bidi="zh-CN"/>
        </w:rPr>
        <w:t>的研发、生产和销售业务，瞄准国际前沿技术，坚持以实业经营为根本，以资本运作为手段，二者循环促进，推动公司成为</w:t>
      </w:r>
      <w:r>
        <w:rPr>
          <w:rFonts w:hint="eastAsia" w:cs="宋体"/>
          <w:spacing w:val="-5"/>
          <w:sz w:val="24"/>
          <w:szCs w:val="24"/>
          <w:lang w:val="en-US" w:eastAsia="zh-CN" w:bidi="zh-CN"/>
        </w:rPr>
        <w:t>阻燃剂</w:t>
      </w:r>
      <w:r>
        <w:rPr>
          <w:rFonts w:hint="eastAsia" w:ascii="宋体" w:hAnsi="宋体" w:eastAsia="宋体" w:cs="宋体"/>
          <w:spacing w:val="-5"/>
          <w:sz w:val="24"/>
          <w:szCs w:val="24"/>
          <w:lang w:val="en-US" w:eastAsia="zh-CN" w:bidi="zh-CN"/>
        </w:rPr>
        <w:t>产品</w:t>
      </w:r>
      <w:r>
        <w:rPr>
          <w:rFonts w:hint="eastAsia" w:ascii="宋体" w:hAnsi="宋体" w:eastAsia="宋体" w:cs="宋体"/>
          <w:spacing w:val="-5"/>
          <w:sz w:val="24"/>
          <w:szCs w:val="24"/>
          <w:lang w:val="zh-CN" w:eastAsia="zh-CN" w:bidi="zh-CN"/>
        </w:rPr>
        <w:t>行业的创新者和领导者， 贯彻“创新、专注、诚信、共赢”的经营理念，最终实现 “追求创新无止境，奋斗无止境，发展无止境！”的愿景。</w:t>
      </w:r>
    </w:p>
    <w:p>
      <w:pPr>
        <w:pStyle w:val="4"/>
        <w:spacing w:before="7" w:line="360" w:lineRule="auto"/>
        <w:ind w:right="359"/>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明确了发展战略为：</w:t>
      </w:r>
    </w:p>
    <w:p>
      <w:pPr>
        <w:pStyle w:val="4"/>
        <w:spacing w:before="7" w:line="360" w:lineRule="auto"/>
        <w:ind w:right="359" w:firstLine="48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通过专业化人才队伍的建设，提高</w:t>
      </w:r>
      <w:r>
        <w:rPr>
          <w:rFonts w:hint="eastAsia" w:cs="宋体"/>
          <w:spacing w:val="-5"/>
          <w:sz w:val="24"/>
          <w:szCs w:val="24"/>
          <w:lang w:val="en-US" w:eastAsia="zh-CN" w:bidi="zh-CN"/>
        </w:rPr>
        <w:t>阻燃剂</w:t>
      </w:r>
      <w:r>
        <w:rPr>
          <w:rFonts w:hint="eastAsia" w:ascii="宋体" w:hAnsi="宋体" w:eastAsia="宋体" w:cs="宋体"/>
          <w:spacing w:val="-5"/>
          <w:sz w:val="24"/>
          <w:szCs w:val="24"/>
          <w:lang w:val="zh-CN" w:eastAsia="zh-CN" w:bidi="zh-CN"/>
        </w:rPr>
        <w:t>产品的前瞻性设计能力以满足不同客户对不同类别产品的需求；通过电子商务平台搭建、线上线下多渠道销售布局以提高覆盖率，进而提升企业品牌优势和影响力；均衡发展国外市场，大力开发欧洲及东南亚市场，规避贸易风险；通过完善内部管理流程以保证产品品质，进而提升顾客满意度及品牌美誉度。</w:t>
      </w:r>
    </w:p>
    <w:p>
      <w:pPr>
        <w:pStyle w:val="4"/>
        <w:spacing w:before="7" w:line="360" w:lineRule="auto"/>
        <w:ind w:right="359" w:firstLine="480"/>
        <w:rPr>
          <w:rFonts w:hint="eastAsia" w:ascii="宋体" w:hAnsi="宋体" w:eastAsia="宋体" w:cs="宋体"/>
          <w:spacing w:val="-5"/>
          <w:sz w:val="24"/>
          <w:szCs w:val="24"/>
          <w:lang w:val="zh-CN" w:eastAsia="zh-CN" w:bidi="zh-CN"/>
        </w:rPr>
      </w:pPr>
      <w:r>
        <w:rPr>
          <w:rFonts w:hint="eastAsia" w:ascii="宋体" w:hAnsi="宋体" w:eastAsia="宋体" w:cs="宋体"/>
          <w:spacing w:val="-5"/>
          <w:sz w:val="24"/>
          <w:szCs w:val="24"/>
          <w:lang w:val="zh-CN" w:eastAsia="zh-CN" w:bidi="zh-CN"/>
        </w:rPr>
        <w:t>利用消费市场增长机会，快速布局国内市场销售渠道，提高产品或服务的能力；利用行业整合机会，加强管理人员建设，完善相关管理制度；针对消费者需求的多样化逐步丰富产品线，增加品牌内涵；强化供应商管理，满足客户对产品或服务的要求。</w:t>
      </w:r>
    </w:p>
    <w:p>
      <w:pPr>
        <w:pStyle w:val="4"/>
        <w:spacing w:before="8" w:line="360" w:lineRule="auto"/>
        <w:ind w:right="360" w:firstLine="480"/>
        <w:jc w:val="both"/>
        <w:rPr>
          <w:rFonts w:hint="eastAsia" w:ascii="宋体" w:hAnsi="宋体" w:eastAsia="宋体" w:cs="宋体"/>
        </w:rPr>
      </w:pPr>
      <w:r>
        <w:rPr>
          <w:rFonts w:hint="eastAsia" w:ascii="宋体" w:hAnsi="宋体" w:eastAsia="宋体" w:cs="宋体"/>
          <w:spacing w:val="-5"/>
          <w:sz w:val="24"/>
          <w:szCs w:val="24"/>
          <w:lang w:val="zh-CN" w:eastAsia="zh-CN" w:bidi="zh-CN"/>
        </w:rPr>
        <w:t>总之，在国家发展规划的引领下、在市政府的大力支持下，通过努力，相信</w:t>
      </w:r>
      <w:r>
        <w:rPr>
          <w:rFonts w:hint="eastAsia" w:cs="宋体"/>
          <w:spacing w:val="-5"/>
          <w:sz w:val="24"/>
          <w:szCs w:val="24"/>
          <w:lang w:val="en-US" w:eastAsia="zh-CN" w:bidi="zh-CN"/>
        </w:rPr>
        <w:t>鸿浩科技</w:t>
      </w:r>
      <w:r>
        <w:rPr>
          <w:rFonts w:hint="eastAsia" w:ascii="宋体" w:hAnsi="宋体" w:eastAsia="宋体" w:cs="宋体"/>
          <w:spacing w:val="-5"/>
          <w:sz w:val="24"/>
          <w:szCs w:val="24"/>
          <w:lang w:val="zh-CN" w:eastAsia="zh-CN" w:bidi="zh-CN"/>
        </w:rPr>
        <w:t>未来三年规划会顺利实现，为</w:t>
      </w:r>
      <w:r>
        <w:rPr>
          <w:rFonts w:hint="eastAsia" w:cs="宋体"/>
          <w:spacing w:val="-5"/>
          <w:sz w:val="24"/>
          <w:szCs w:val="24"/>
          <w:lang w:val="en-US" w:eastAsia="zh-CN" w:bidi="zh-CN"/>
        </w:rPr>
        <w:t>遂昌</w:t>
      </w:r>
      <w:r>
        <w:rPr>
          <w:rFonts w:hint="eastAsia" w:ascii="宋体" w:hAnsi="宋体" w:eastAsia="宋体" w:cs="宋体"/>
          <w:spacing w:val="-5"/>
          <w:sz w:val="24"/>
          <w:szCs w:val="24"/>
          <w:lang w:val="zh-CN" w:eastAsia="zh-CN" w:bidi="zh-CN"/>
        </w:rPr>
        <w:t>经济的繁荣发展献上一己之力！最终造福股东、造福员工、造福社会</w:t>
      </w:r>
      <w:r>
        <w:rPr>
          <w:rFonts w:hint="eastAsia" w:ascii="宋体" w:hAnsi="宋体" w:eastAsia="宋体" w:cs="宋体"/>
        </w:rPr>
        <w:t>。</w:t>
      </w:r>
    </w:p>
    <w:sectPr>
      <w:pgSz w:w="11910" w:h="16840"/>
      <w:pgMar w:top="1420" w:right="1440" w:bottom="1380" w:left="1680" w:header="877" w:footer="1197"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ind w:left="0"/>
      <w:rPr>
        <w:sz w:val="20"/>
      </w:rPr>
    </w:pPr>
    <w:r>
      <w:pict>
        <v:shape id="_x0000_s4097" o:spid="_x0000_s4097" o:spt="202" type="#_x0000_t202" style="position:absolute;left:0pt;margin-left:291pt;margin-top:771pt;height:11pt;width:13.15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03" w:lineRule="exact"/>
                  <w:ind w:left="40"/>
                  <w:rPr>
                    <w:rFonts w:ascii="Calibri"/>
                    <w:sz w:val="18"/>
                  </w:rPr>
                </w:pPr>
                <w:r>
                  <w:fldChar w:fldCharType="begin"/>
                </w:r>
                <w:r>
                  <w:rPr>
                    <w:rFonts w:ascii="Calibri"/>
                    <w:sz w:val="18"/>
                  </w:rPr>
                  <w:instrText xml:space="preserve"> PAGE </w:instrText>
                </w:r>
                <w:r>
                  <w:fldChar w:fldCharType="separate"/>
                </w:r>
                <w:r>
                  <w:t>10</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DF18552"/>
    <w:multiLevelType w:val="singleLevel"/>
    <w:tmpl w:val="9DF18552"/>
    <w:lvl w:ilvl="0" w:tentative="0">
      <w:start w:val="7"/>
      <w:numFmt w:val="chineseCounting"/>
      <w:suff w:val="nothing"/>
      <w:lvlText w:val="%1、"/>
      <w:lvlJc w:val="left"/>
      <w:rPr>
        <w:rFonts w:hint="eastAsia"/>
      </w:rPr>
    </w:lvl>
  </w:abstractNum>
  <w:abstractNum w:abstractNumId="1">
    <w:nsid w:val="B5E306ED"/>
    <w:multiLevelType w:val="multilevel"/>
    <w:tmpl w:val="B5E306ED"/>
    <w:lvl w:ilvl="0" w:tentative="0">
      <w:start w:val="6"/>
      <w:numFmt w:val="decimal"/>
      <w:lvlText w:val="%1"/>
      <w:lvlJc w:val="left"/>
      <w:pPr>
        <w:ind w:left="540" w:hanging="420"/>
      </w:pPr>
      <w:rPr>
        <w:rFonts w:hint="default"/>
        <w:lang w:val="zh-CN" w:eastAsia="zh-CN" w:bidi="zh-CN"/>
      </w:rPr>
    </w:lvl>
    <w:lvl w:ilvl="1" w:tentative="0">
      <w:start w:val="1"/>
      <w:numFmt w:val="decimal"/>
      <w:lvlText w:val="%1.%2"/>
      <w:lvlJc w:val="left"/>
      <w:pPr>
        <w:ind w:left="54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89" w:hanging="420"/>
      </w:pPr>
      <w:rPr>
        <w:rFonts w:hint="default"/>
        <w:lang w:val="zh-CN" w:eastAsia="zh-CN" w:bidi="zh-CN"/>
      </w:rPr>
    </w:lvl>
    <w:lvl w:ilvl="3" w:tentative="0">
      <w:start w:val="0"/>
      <w:numFmt w:val="bullet"/>
      <w:lvlText w:val="•"/>
      <w:lvlJc w:val="left"/>
      <w:pPr>
        <w:ind w:left="3013" w:hanging="420"/>
      </w:pPr>
      <w:rPr>
        <w:rFonts w:hint="default"/>
        <w:lang w:val="zh-CN" w:eastAsia="zh-CN" w:bidi="zh-CN"/>
      </w:rPr>
    </w:lvl>
    <w:lvl w:ilvl="4" w:tentative="0">
      <w:start w:val="0"/>
      <w:numFmt w:val="bullet"/>
      <w:lvlText w:val="•"/>
      <w:lvlJc w:val="left"/>
      <w:pPr>
        <w:ind w:left="3838"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487" w:hanging="420"/>
      </w:pPr>
      <w:rPr>
        <w:rFonts w:hint="default"/>
        <w:lang w:val="zh-CN" w:eastAsia="zh-CN" w:bidi="zh-CN"/>
      </w:rPr>
    </w:lvl>
    <w:lvl w:ilvl="7" w:tentative="0">
      <w:start w:val="0"/>
      <w:numFmt w:val="bullet"/>
      <w:lvlText w:val="•"/>
      <w:lvlJc w:val="left"/>
      <w:pPr>
        <w:ind w:left="6312" w:hanging="420"/>
      </w:pPr>
      <w:rPr>
        <w:rFonts w:hint="default"/>
        <w:lang w:val="zh-CN" w:eastAsia="zh-CN" w:bidi="zh-CN"/>
      </w:rPr>
    </w:lvl>
    <w:lvl w:ilvl="8" w:tentative="0">
      <w:start w:val="0"/>
      <w:numFmt w:val="bullet"/>
      <w:lvlText w:val="•"/>
      <w:lvlJc w:val="left"/>
      <w:pPr>
        <w:ind w:left="7137" w:hanging="420"/>
      </w:pPr>
      <w:rPr>
        <w:rFonts w:hint="default"/>
        <w:lang w:val="zh-CN" w:eastAsia="zh-CN" w:bidi="zh-CN"/>
      </w:rPr>
    </w:lvl>
  </w:abstractNum>
  <w:abstractNum w:abstractNumId="2">
    <w:nsid w:val="BF205925"/>
    <w:multiLevelType w:val="multilevel"/>
    <w:tmpl w:val="BF205925"/>
    <w:lvl w:ilvl="0" w:tentative="0">
      <w:start w:val="4"/>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3">
    <w:nsid w:val="C8E01BF8"/>
    <w:multiLevelType w:val="singleLevel"/>
    <w:tmpl w:val="C8E01BF8"/>
    <w:lvl w:ilvl="0" w:tentative="0">
      <w:start w:val="6"/>
      <w:numFmt w:val="chineseCounting"/>
      <w:suff w:val="nothing"/>
      <w:lvlText w:val="%1、"/>
      <w:lvlJc w:val="left"/>
      <w:rPr>
        <w:rFonts w:hint="eastAsia"/>
      </w:rPr>
    </w:lvl>
  </w:abstractNum>
  <w:abstractNum w:abstractNumId="4">
    <w:nsid w:val="CF092B84"/>
    <w:multiLevelType w:val="multilevel"/>
    <w:tmpl w:val="CF092B84"/>
    <w:lvl w:ilvl="0" w:tentative="0">
      <w:start w:val="1"/>
      <w:numFmt w:val="decimal"/>
      <w:lvlText w:val="%1"/>
      <w:lvlJc w:val="left"/>
      <w:pPr>
        <w:ind w:left="600" w:hanging="480"/>
      </w:pPr>
      <w:rPr>
        <w:rFonts w:hint="default"/>
        <w:lang w:val="zh-CN" w:eastAsia="zh-CN" w:bidi="zh-CN"/>
      </w:rPr>
    </w:lvl>
    <w:lvl w:ilvl="1" w:tentative="0">
      <w:start w:val="1"/>
      <w:numFmt w:val="decimal"/>
      <w:lvlText w:val="%1.%2"/>
      <w:lvlJc w:val="left"/>
      <w:pPr>
        <w:ind w:left="600" w:hanging="480"/>
      </w:pPr>
      <w:rPr>
        <w:rFonts w:hint="default" w:ascii="宋体" w:hAnsi="宋体" w:eastAsia="宋体" w:cs="宋体"/>
        <w:w w:val="100"/>
        <w:sz w:val="24"/>
        <w:szCs w:val="24"/>
        <w:lang w:val="zh-CN" w:eastAsia="zh-CN" w:bidi="zh-CN"/>
      </w:rPr>
    </w:lvl>
    <w:lvl w:ilvl="2" w:tentative="0">
      <w:start w:val="0"/>
      <w:numFmt w:val="bullet"/>
      <w:lvlText w:val="•"/>
      <w:lvlJc w:val="left"/>
      <w:pPr>
        <w:ind w:left="2237" w:hanging="480"/>
      </w:pPr>
      <w:rPr>
        <w:rFonts w:hint="default"/>
        <w:lang w:val="zh-CN" w:eastAsia="zh-CN" w:bidi="zh-CN"/>
      </w:rPr>
    </w:lvl>
    <w:lvl w:ilvl="3" w:tentative="0">
      <w:start w:val="0"/>
      <w:numFmt w:val="bullet"/>
      <w:lvlText w:val="•"/>
      <w:lvlJc w:val="left"/>
      <w:pPr>
        <w:ind w:left="3055" w:hanging="480"/>
      </w:pPr>
      <w:rPr>
        <w:rFonts w:hint="default"/>
        <w:lang w:val="zh-CN" w:eastAsia="zh-CN" w:bidi="zh-CN"/>
      </w:rPr>
    </w:lvl>
    <w:lvl w:ilvl="4" w:tentative="0">
      <w:start w:val="0"/>
      <w:numFmt w:val="bullet"/>
      <w:lvlText w:val="•"/>
      <w:lvlJc w:val="left"/>
      <w:pPr>
        <w:ind w:left="3874" w:hanging="480"/>
      </w:pPr>
      <w:rPr>
        <w:rFonts w:hint="default"/>
        <w:lang w:val="zh-CN" w:eastAsia="zh-CN" w:bidi="zh-CN"/>
      </w:rPr>
    </w:lvl>
    <w:lvl w:ilvl="5" w:tentative="0">
      <w:start w:val="0"/>
      <w:numFmt w:val="bullet"/>
      <w:lvlText w:val="•"/>
      <w:lvlJc w:val="left"/>
      <w:pPr>
        <w:ind w:left="4693" w:hanging="480"/>
      </w:pPr>
      <w:rPr>
        <w:rFonts w:hint="default"/>
        <w:lang w:val="zh-CN" w:eastAsia="zh-CN" w:bidi="zh-CN"/>
      </w:rPr>
    </w:lvl>
    <w:lvl w:ilvl="6" w:tentative="0">
      <w:start w:val="0"/>
      <w:numFmt w:val="bullet"/>
      <w:lvlText w:val="•"/>
      <w:lvlJc w:val="left"/>
      <w:pPr>
        <w:ind w:left="5511" w:hanging="480"/>
      </w:pPr>
      <w:rPr>
        <w:rFonts w:hint="default"/>
        <w:lang w:val="zh-CN" w:eastAsia="zh-CN" w:bidi="zh-CN"/>
      </w:rPr>
    </w:lvl>
    <w:lvl w:ilvl="7" w:tentative="0">
      <w:start w:val="0"/>
      <w:numFmt w:val="bullet"/>
      <w:lvlText w:val="•"/>
      <w:lvlJc w:val="left"/>
      <w:pPr>
        <w:ind w:left="6330" w:hanging="480"/>
      </w:pPr>
      <w:rPr>
        <w:rFonts w:hint="default"/>
        <w:lang w:val="zh-CN" w:eastAsia="zh-CN" w:bidi="zh-CN"/>
      </w:rPr>
    </w:lvl>
    <w:lvl w:ilvl="8" w:tentative="0">
      <w:start w:val="0"/>
      <w:numFmt w:val="bullet"/>
      <w:lvlText w:val="•"/>
      <w:lvlJc w:val="left"/>
      <w:pPr>
        <w:ind w:left="7149" w:hanging="480"/>
      </w:pPr>
      <w:rPr>
        <w:rFonts w:hint="default"/>
        <w:lang w:val="zh-CN" w:eastAsia="zh-CN" w:bidi="zh-CN"/>
      </w:rPr>
    </w:lvl>
  </w:abstractNum>
  <w:abstractNum w:abstractNumId="5">
    <w:nsid w:val="0053208E"/>
    <w:multiLevelType w:val="multilevel"/>
    <w:tmpl w:val="0053208E"/>
    <w:lvl w:ilvl="0" w:tentative="0">
      <w:start w:val="1"/>
      <w:numFmt w:val="decimal"/>
      <w:lvlText w:val="%1."/>
      <w:lvlJc w:val="left"/>
      <w:pPr>
        <w:ind w:left="480" w:hanging="360"/>
      </w:pPr>
      <w:rPr>
        <w:rFonts w:hint="default" w:ascii="宋体" w:hAnsi="宋体" w:eastAsia="宋体" w:cs="宋体"/>
        <w:w w:val="100"/>
        <w:sz w:val="24"/>
        <w:szCs w:val="24"/>
        <w:lang w:val="zh-CN" w:eastAsia="zh-CN" w:bidi="zh-CN"/>
      </w:rPr>
    </w:lvl>
    <w:lvl w:ilvl="1" w:tentative="0">
      <w:start w:val="0"/>
      <w:numFmt w:val="bullet"/>
      <w:lvlText w:val="•"/>
      <w:lvlJc w:val="left"/>
      <w:pPr>
        <w:ind w:left="1310" w:hanging="360"/>
      </w:pPr>
      <w:rPr>
        <w:rFonts w:hint="default"/>
        <w:lang w:val="zh-CN" w:eastAsia="zh-CN" w:bidi="zh-CN"/>
      </w:rPr>
    </w:lvl>
    <w:lvl w:ilvl="2" w:tentative="0">
      <w:start w:val="0"/>
      <w:numFmt w:val="bullet"/>
      <w:lvlText w:val="•"/>
      <w:lvlJc w:val="left"/>
      <w:pPr>
        <w:ind w:left="2141" w:hanging="360"/>
      </w:pPr>
      <w:rPr>
        <w:rFonts w:hint="default"/>
        <w:lang w:val="zh-CN" w:eastAsia="zh-CN" w:bidi="zh-CN"/>
      </w:rPr>
    </w:lvl>
    <w:lvl w:ilvl="3" w:tentative="0">
      <w:start w:val="0"/>
      <w:numFmt w:val="bullet"/>
      <w:lvlText w:val="•"/>
      <w:lvlJc w:val="left"/>
      <w:pPr>
        <w:ind w:left="2971" w:hanging="360"/>
      </w:pPr>
      <w:rPr>
        <w:rFonts w:hint="default"/>
        <w:lang w:val="zh-CN" w:eastAsia="zh-CN" w:bidi="zh-CN"/>
      </w:rPr>
    </w:lvl>
    <w:lvl w:ilvl="4" w:tentative="0">
      <w:start w:val="0"/>
      <w:numFmt w:val="bullet"/>
      <w:lvlText w:val="•"/>
      <w:lvlJc w:val="left"/>
      <w:pPr>
        <w:ind w:left="3802" w:hanging="360"/>
      </w:pPr>
      <w:rPr>
        <w:rFonts w:hint="default"/>
        <w:lang w:val="zh-CN" w:eastAsia="zh-CN" w:bidi="zh-CN"/>
      </w:rPr>
    </w:lvl>
    <w:lvl w:ilvl="5" w:tentative="0">
      <w:start w:val="0"/>
      <w:numFmt w:val="bullet"/>
      <w:lvlText w:val="•"/>
      <w:lvlJc w:val="left"/>
      <w:pPr>
        <w:ind w:left="4633" w:hanging="360"/>
      </w:pPr>
      <w:rPr>
        <w:rFonts w:hint="default"/>
        <w:lang w:val="zh-CN" w:eastAsia="zh-CN" w:bidi="zh-CN"/>
      </w:rPr>
    </w:lvl>
    <w:lvl w:ilvl="6" w:tentative="0">
      <w:start w:val="0"/>
      <w:numFmt w:val="bullet"/>
      <w:lvlText w:val="•"/>
      <w:lvlJc w:val="left"/>
      <w:pPr>
        <w:ind w:left="5463" w:hanging="360"/>
      </w:pPr>
      <w:rPr>
        <w:rFonts w:hint="default"/>
        <w:lang w:val="zh-CN" w:eastAsia="zh-CN" w:bidi="zh-CN"/>
      </w:rPr>
    </w:lvl>
    <w:lvl w:ilvl="7" w:tentative="0">
      <w:start w:val="0"/>
      <w:numFmt w:val="bullet"/>
      <w:lvlText w:val="•"/>
      <w:lvlJc w:val="left"/>
      <w:pPr>
        <w:ind w:left="6294" w:hanging="360"/>
      </w:pPr>
      <w:rPr>
        <w:rFonts w:hint="default"/>
        <w:lang w:val="zh-CN" w:eastAsia="zh-CN" w:bidi="zh-CN"/>
      </w:rPr>
    </w:lvl>
    <w:lvl w:ilvl="8" w:tentative="0">
      <w:start w:val="0"/>
      <w:numFmt w:val="bullet"/>
      <w:lvlText w:val="•"/>
      <w:lvlJc w:val="left"/>
      <w:pPr>
        <w:ind w:left="7125" w:hanging="360"/>
      </w:pPr>
      <w:rPr>
        <w:rFonts w:hint="default"/>
        <w:lang w:val="zh-CN" w:eastAsia="zh-CN" w:bidi="zh-CN"/>
      </w:rPr>
    </w:lvl>
  </w:abstractNum>
  <w:abstractNum w:abstractNumId="6">
    <w:nsid w:val="146BAB57"/>
    <w:multiLevelType w:val="singleLevel"/>
    <w:tmpl w:val="146BAB57"/>
    <w:lvl w:ilvl="0" w:tentative="0">
      <w:start w:val="2"/>
      <w:numFmt w:val="chineseCounting"/>
      <w:suff w:val="nothing"/>
      <w:lvlText w:val="%1、"/>
      <w:lvlJc w:val="left"/>
      <w:rPr>
        <w:rFonts w:hint="eastAsia"/>
      </w:rPr>
    </w:lvl>
  </w:abstractNum>
  <w:abstractNum w:abstractNumId="7">
    <w:nsid w:val="25B654F3"/>
    <w:multiLevelType w:val="multilevel"/>
    <w:tmpl w:val="25B654F3"/>
    <w:lvl w:ilvl="0" w:tentative="0">
      <w:start w:val="8"/>
      <w:numFmt w:val="decimal"/>
      <w:lvlText w:val="%1"/>
      <w:lvlJc w:val="left"/>
      <w:pPr>
        <w:ind w:left="540" w:hanging="420"/>
      </w:pPr>
      <w:rPr>
        <w:rFonts w:hint="default"/>
        <w:lang w:val="zh-CN" w:eastAsia="zh-CN" w:bidi="zh-CN"/>
      </w:rPr>
    </w:lvl>
    <w:lvl w:ilvl="1" w:tentative="0">
      <w:start w:val="1"/>
      <w:numFmt w:val="decimal"/>
      <w:lvlText w:val="%1.%2"/>
      <w:lvlJc w:val="left"/>
      <w:pPr>
        <w:ind w:left="540" w:hanging="420"/>
      </w:pPr>
      <w:rPr>
        <w:rFonts w:hint="default" w:ascii="宋体" w:hAnsi="宋体" w:eastAsia="宋体" w:cs="宋体"/>
        <w:w w:val="100"/>
        <w:sz w:val="24"/>
        <w:szCs w:val="24"/>
        <w:lang w:val="zh-CN" w:eastAsia="zh-CN" w:bidi="zh-CN"/>
      </w:rPr>
    </w:lvl>
    <w:lvl w:ilvl="2" w:tentative="0">
      <w:start w:val="0"/>
      <w:numFmt w:val="bullet"/>
      <w:lvlText w:val="•"/>
      <w:lvlJc w:val="left"/>
      <w:pPr>
        <w:ind w:left="2189" w:hanging="420"/>
      </w:pPr>
      <w:rPr>
        <w:rFonts w:hint="default"/>
        <w:lang w:val="zh-CN" w:eastAsia="zh-CN" w:bidi="zh-CN"/>
      </w:rPr>
    </w:lvl>
    <w:lvl w:ilvl="3" w:tentative="0">
      <w:start w:val="0"/>
      <w:numFmt w:val="bullet"/>
      <w:lvlText w:val="•"/>
      <w:lvlJc w:val="left"/>
      <w:pPr>
        <w:ind w:left="3013" w:hanging="420"/>
      </w:pPr>
      <w:rPr>
        <w:rFonts w:hint="default"/>
        <w:lang w:val="zh-CN" w:eastAsia="zh-CN" w:bidi="zh-CN"/>
      </w:rPr>
    </w:lvl>
    <w:lvl w:ilvl="4" w:tentative="0">
      <w:start w:val="0"/>
      <w:numFmt w:val="bullet"/>
      <w:lvlText w:val="•"/>
      <w:lvlJc w:val="left"/>
      <w:pPr>
        <w:ind w:left="3838" w:hanging="420"/>
      </w:pPr>
      <w:rPr>
        <w:rFonts w:hint="default"/>
        <w:lang w:val="zh-CN" w:eastAsia="zh-CN" w:bidi="zh-CN"/>
      </w:rPr>
    </w:lvl>
    <w:lvl w:ilvl="5" w:tentative="0">
      <w:start w:val="0"/>
      <w:numFmt w:val="bullet"/>
      <w:lvlText w:val="•"/>
      <w:lvlJc w:val="left"/>
      <w:pPr>
        <w:ind w:left="4663" w:hanging="420"/>
      </w:pPr>
      <w:rPr>
        <w:rFonts w:hint="default"/>
        <w:lang w:val="zh-CN" w:eastAsia="zh-CN" w:bidi="zh-CN"/>
      </w:rPr>
    </w:lvl>
    <w:lvl w:ilvl="6" w:tentative="0">
      <w:start w:val="0"/>
      <w:numFmt w:val="bullet"/>
      <w:lvlText w:val="•"/>
      <w:lvlJc w:val="left"/>
      <w:pPr>
        <w:ind w:left="5487" w:hanging="420"/>
      </w:pPr>
      <w:rPr>
        <w:rFonts w:hint="default"/>
        <w:lang w:val="zh-CN" w:eastAsia="zh-CN" w:bidi="zh-CN"/>
      </w:rPr>
    </w:lvl>
    <w:lvl w:ilvl="7" w:tentative="0">
      <w:start w:val="0"/>
      <w:numFmt w:val="bullet"/>
      <w:lvlText w:val="•"/>
      <w:lvlJc w:val="left"/>
      <w:pPr>
        <w:ind w:left="6312" w:hanging="420"/>
      </w:pPr>
      <w:rPr>
        <w:rFonts w:hint="default"/>
        <w:lang w:val="zh-CN" w:eastAsia="zh-CN" w:bidi="zh-CN"/>
      </w:rPr>
    </w:lvl>
    <w:lvl w:ilvl="8" w:tentative="0">
      <w:start w:val="0"/>
      <w:numFmt w:val="bullet"/>
      <w:lvlText w:val="•"/>
      <w:lvlJc w:val="left"/>
      <w:pPr>
        <w:ind w:left="7137" w:hanging="420"/>
      </w:pPr>
      <w:rPr>
        <w:rFonts w:hint="default"/>
        <w:lang w:val="zh-CN" w:eastAsia="zh-CN" w:bidi="zh-CN"/>
      </w:rPr>
    </w:lvl>
  </w:abstractNum>
  <w:abstractNum w:abstractNumId="8">
    <w:nsid w:val="332BBC9E"/>
    <w:multiLevelType w:val="singleLevel"/>
    <w:tmpl w:val="332BBC9E"/>
    <w:lvl w:ilvl="0" w:tentative="0">
      <w:start w:val="5"/>
      <w:numFmt w:val="chineseCounting"/>
      <w:suff w:val="nothing"/>
      <w:lvlText w:val="%1、"/>
      <w:lvlJc w:val="left"/>
      <w:rPr>
        <w:rFonts w:hint="eastAsia"/>
      </w:rPr>
    </w:lvl>
  </w:abstractNum>
  <w:abstractNum w:abstractNumId="9">
    <w:nsid w:val="34358C46"/>
    <w:multiLevelType w:val="singleLevel"/>
    <w:tmpl w:val="34358C46"/>
    <w:lvl w:ilvl="0" w:tentative="0">
      <w:start w:val="1"/>
      <w:numFmt w:val="decimal"/>
      <w:suff w:val="nothing"/>
      <w:lvlText w:val="%1）"/>
      <w:lvlJc w:val="left"/>
    </w:lvl>
  </w:abstractNum>
  <w:num w:numId="1">
    <w:abstractNumId w:val="5"/>
  </w:num>
  <w:num w:numId="2">
    <w:abstractNumId w:val="4"/>
  </w:num>
  <w:num w:numId="3">
    <w:abstractNumId w:val="6"/>
  </w:num>
  <w:num w:numId="4">
    <w:abstractNumId w:val="9"/>
  </w:num>
  <w:num w:numId="5">
    <w:abstractNumId w:val="2"/>
  </w:num>
  <w:num w:numId="6">
    <w:abstractNumId w:val="8"/>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hdrShapeDefaults>
    <o:shapelayout v:ext="edit">
      <o:idmap v:ext="edit" data="3,4"/>
    </o:shapelayout>
  </w:hdrShapeDefaults>
  <w:compat>
    <w:ulTrailSpace/>
    <w:doNotExpandShiftReturn/>
    <w:doNotWrapTextWithPunct/>
    <w:doNotUseEastAsianBreakRules/>
    <w:useFELayout/>
    <w:doNotUseIndentAsNumberingTabStop/>
    <w:compatSetting w:name="compatibilityMode" w:uri="http://schemas.microsoft.com/office/word" w:val="12"/>
  </w:compat>
  <w:docVars>
    <w:docVar w:name="commondata" w:val="eyJoZGlkIjoiZTcyNzc2OWQ1OGYzYmJjMmQzZDFlYjZmNWI4YzA4MmYifQ=="/>
  </w:docVars>
  <w:rsids>
    <w:rsidRoot w:val="00290920"/>
    <w:rsid w:val="000278DC"/>
    <w:rsid w:val="00032473"/>
    <w:rsid w:val="000414FB"/>
    <w:rsid w:val="000579A5"/>
    <w:rsid w:val="00066EC5"/>
    <w:rsid w:val="001175B4"/>
    <w:rsid w:val="001C1FC1"/>
    <w:rsid w:val="001E006E"/>
    <w:rsid w:val="001E1AAD"/>
    <w:rsid w:val="00244132"/>
    <w:rsid w:val="0026017D"/>
    <w:rsid w:val="00263C88"/>
    <w:rsid w:val="002704DC"/>
    <w:rsid w:val="002903F9"/>
    <w:rsid w:val="00290920"/>
    <w:rsid w:val="002E4DCC"/>
    <w:rsid w:val="0030225B"/>
    <w:rsid w:val="0033239A"/>
    <w:rsid w:val="00333CDD"/>
    <w:rsid w:val="0036038A"/>
    <w:rsid w:val="00376968"/>
    <w:rsid w:val="0037720E"/>
    <w:rsid w:val="003A0DB5"/>
    <w:rsid w:val="003D04CD"/>
    <w:rsid w:val="003F6CFA"/>
    <w:rsid w:val="00405E2E"/>
    <w:rsid w:val="00436F89"/>
    <w:rsid w:val="00440CA5"/>
    <w:rsid w:val="00467DCB"/>
    <w:rsid w:val="004900E6"/>
    <w:rsid w:val="004A161E"/>
    <w:rsid w:val="004D63C4"/>
    <w:rsid w:val="004F1C97"/>
    <w:rsid w:val="004F1D71"/>
    <w:rsid w:val="005046FD"/>
    <w:rsid w:val="005B134C"/>
    <w:rsid w:val="005C44A5"/>
    <w:rsid w:val="005E0325"/>
    <w:rsid w:val="006511E0"/>
    <w:rsid w:val="00687D11"/>
    <w:rsid w:val="006C39B4"/>
    <w:rsid w:val="006C4684"/>
    <w:rsid w:val="006E5587"/>
    <w:rsid w:val="007103E9"/>
    <w:rsid w:val="00724FE4"/>
    <w:rsid w:val="00766F3F"/>
    <w:rsid w:val="00774550"/>
    <w:rsid w:val="007816F0"/>
    <w:rsid w:val="007B7DB6"/>
    <w:rsid w:val="007C6B63"/>
    <w:rsid w:val="007E5EB5"/>
    <w:rsid w:val="00825F7C"/>
    <w:rsid w:val="00866AFB"/>
    <w:rsid w:val="008904FE"/>
    <w:rsid w:val="008C6E32"/>
    <w:rsid w:val="008F71D5"/>
    <w:rsid w:val="009033D2"/>
    <w:rsid w:val="009364BF"/>
    <w:rsid w:val="00963BF3"/>
    <w:rsid w:val="009C1E21"/>
    <w:rsid w:val="009C7DA2"/>
    <w:rsid w:val="009F692A"/>
    <w:rsid w:val="00A46435"/>
    <w:rsid w:val="00AB12C6"/>
    <w:rsid w:val="00AD3415"/>
    <w:rsid w:val="00B04DFD"/>
    <w:rsid w:val="00B10FBE"/>
    <w:rsid w:val="00B40D99"/>
    <w:rsid w:val="00B50488"/>
    <w:rsid w:val="00B82100"/>
    <w:rsid w:val="00BD1A31"/>
    <w:rsid w:val="00BE263E"/>
    <w:rsid w:val="00C53042"/>
    <w:rsid w:val="00C7250B"/>
    <w:rsid w:val="00CB539F"/>
    <w:rsid w:val="00D10E9E"/>
    <w:rsid w:val="00D15940"/>
    <w:rsid w:val="00D26976"/>
    <w:rsid w:val="00D43431"/>
    <w:rsid w:val="00D43AC4"/>
    <w:rsid w:val="00D96750"/>
    <w:rsid w:val="00DF7453"/>
    <w:rsid w:val="00E17C27"/>
    <w:rsid w:val="00E20AA2"/>
    <w:rsid w:val="00E228B5"/>
    <w:rsid w:val="00E93DD6"/>
    <w:rsid w:val="00EC0C64"/>
    <w:rsid w:val="00EE28D9"/>
    <w:rsid w:val="00EE57D0"/>
    <w:rsid w:val="00F051A3"/>
    <w:rsid w:val="00F92607"/>
    <w:rsid w:val="00FA73EE"/>
    <w:rsid w:val="00FB1115"/>
    <w:rsid w:val="00FB3464"/>
    <w:rsid w:val="00FB62EB"/>
    <w:rsid w:val="08612E2C"/>
    <w:rsid w:val="097B6584"/>
    <w:rsid w:val="193366D3"/>
    <w:rsid w:val="1FF86829"/>
    <w:rsid w:val="28B74948"/>
    <w:rsid w:val="2FF5681A"/>
    <w:rsid w:val="33EC6E8D"/>
    <w:rsid w:val="34F11DAB"/>
    <w:rsid w:val="373B3C84"/>
    <w:rsid w:val="397A5954"/>
    <w:rsid w:val="3BB22905"/>
    <w:rsid w:val="409969B6"/>
    <w:rsid w:val="469320F9"/>
    <w:rsid w:val="594C43FA"/>
    <w:rsid w:val="628D035F"/>
    <w:rsid w:val="62E97EC7"/>
    <w:rsid w:val="64D41D06"/>
    <w:rsid w:val="6F0B4673"/>
    <w:rsid w:val="757423F0"/>
    <w:rsid w:val="7DF747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1"/>
    <w:pPr>
      <w:ind w:left="120"/>
      <w:outlineLvl w:val="0"/>
    </w:pPr>
    <w:rPr>
      <w:sz w:val="28"/>
      <w:szCs w:val="28"/>
    </w:rPr>
  </w:style>
  <w:style w:type="paragraph" w:styleId="3">
    <w:name w:val="heading 2"/>
    <w:basedOn w:val="1"/>
    <w:next w:val="1"/>
    <w:qFormat/>
    <w:uiPriority w:val="1"/>
    <w:pPr>
      <w:ind w:right="240"/>
      <w:jc w:val="center"/>
      <w:outlineLvl w:val="1"/>
    </w:pPr>
    <w:rPr>
      <w:b/>
      <w:bCs/>
      <w:sz w:val="24"/>
      <w:szCs w:val="24"/>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pPr>
      <w:ind w:left="120"/>
    </w:pPr>
    <w:rPr>
      <w:sz w:val="24"/>
      <w:szCs w:val="24"/>
    </w:rPr>
  </w:style>
  <w:style w:type="paragraph" w:styleId="5">
    <w:name w:val="Balloon Text"/>
    <w:basedOn w:val="1"/>
    <w:link w:val="19"/>
    <w:autoRedefine/>
    <w:qFormat/>
    <w:uiPriority w:val="0"/>
    <w:rPr>
      <w:sz w:val="18"/>
      <w:szCs w:val="18"/>
    </w:rPr>
  </w:style>
  <w:style w:type="paragraph" w:styleId="6">
    <w:name w:val="footer"/>
    <w:basedOn w:val="1"/>
    <w:link w:val="17"/>
    <w:autoRedefine/>
    <w:qFormat/>
    <w:uiPriority w:val="0"/>
    <w:pPr>
      <w:tabs>
        <w:tab w:val="center" w:pos="4153"/>
        <w:tab w:val="right" w:pos="8306"/>
      </w:tabs>
      <w:snapToGrid w:val="0"/>
    </w:pPr>
    <w:rPr>
      <w:sz w:val="18"/>
      <w:szCs w:val="18"/>
    </w:rPr>
  </w:style>
  <w:style w:type="paragraph" w:styleId="7">
    <w:name w:val="header"/>
    <w:basedOn w:val="1"/>
    <w:link w:val="16"/>
    <w:autoRedefine/>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autoRedefine/>
    <w:qFormat/>
    <w:uiPriority w:val="39"/>
    <w:pPr>
      <w:spacing w:before="316"/>
      <w:ind w:right="238"/>
      <w:jc w:val="center"/>
    </w:pPr>
    <w:rPr>
      <w:sz w:val="24"/>
      <w:szCs w:val="24"/>
    </w:rPr>
  </w:style>
  <w:style w:type="character" w:styleId="11">
    <w:name w:val="Hyperlink"/>
    <w:basedOn w:val="10"/>
    <w:autoRedefine/>
    <w:unhideWhenUsed/>
    <w:qFormat/>
    <w:uiPriority w:val="99"/>
    <w:rPr>
      <w:color w:val="0000FF" w:themeColor="hyperlink"/>
      <w:u w:val="single"/>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autoRedefine/>
    <w:qFormat/>
    <w:uiPriority w:val="1"/>
    <w:pPr>
      <w:spacing w:before="4"/>
      <w:ind w:left="540" w:hanging="420"/>
    </w:pPr>
  </w:style>
  <w:style w:type="paragraph" w:customStyle="1" w:styleId="14">
    <w:name w:val="Table Paragraph"/>
    <w:basedOn w:val="1"/>
    <w:autoRedefine/>
    <w:qFormat/>
    <w:uiPriority w:val="1"/>
    <w:pPr>
      <w:spacing w:before="156"/>
      <w:ind w:left="112"/>
    </w:pPr>
  </w:style>
  <w:style w:type="paragraph" w:customStyle="1" w:styleId="15">
    <w:name w:val="WPSOffice手动目录 1"/>
    <w:autoRedefine/>
    <w:qFormat/>
    <w:uiPriority w:val="0"/>
    <w:rPr>
      <w:rFonts w:ascii="Times New Roman" w:hAnsi="Times New Roman" w:eastAsia="宋体" w:cs="Times New Roman"/>
      <w:lang w:val="en-US" w:eastAsia="zh-CN" w:bidi="ar-SA"/>
    </w:rPr>
  </w:style>
  <w:style w:type="character" w:customStyle="1" w:styleId="16">
    <w:name w:val="页眉 字符"/>
    <w:basedOn w:val="10"/>
    <w:link w:val="7"/>
    <w:autoRedefine/>
    <w:qFormat/>
    <w:uiPriority w:val="0"/>
    <w:rPr>
      <w:rFonts w:ascii="宋体" w:hAnsi="宋体" w:cs="宋体"/>
      <w:sz w:val="18"/>
      <w:szCs w:val="18"/>
      <w:lang w:val="zh-CN" w:bidi="zh-CN"/>
    </w:rPr>
  </w:style>
  <w:style w:type="character" w:customStyle="1" w:styleId="17">
    <w:name w:val="页脚 字符"/>
    <w:basedOn w:val="10"/>
    <w:link w:val="6"/>
    <w:autoRedefine/>
    <w:qFormat/>
    <w:uiPriority w:val="0"/>
    <w:rPr>
      <w:rFonts w:ascii="宋体" w:hAnsi="宋体" w:cs="宋体"/>
      <w:sz w:val="18"/>
      <w:szCs w:val="18"/>
      <w:lang w:val="zh-CN" w:bidi="zh-CN"/>
    </w:rPr>
  </w:style>
  <w:style w:type="paragraph" w:customStyle="1" w:styleId="18">
    <w:name w:val="TOC Heading"/>
    <w:basedOn w:val="2"/>
    <w:next w:val="1"/>
    <w:autoRedefine/>
    <w:unhideWhenUsed/>
    <w:qFormat/>
    <w:uiPriority w:val="39"/>
    <w:pPr>
      <w:keepNext/>
      <w:keepLines/>
      <w:widowControl/>
      <w:autoSpaceDE/>
      <w:autoSpaceDN/>
      <w:spacing w:before="240" w:line="259" w:lineRule="auto"/>
      <w:ind w:left="0"/>
      <w:outlineLvl w:val="9"/>
    </w:pPr>
    <w:rPr>
      <w:rFonts w:asciiTheme="majorHAnsi" w:hAnsiTheme="majorHAnsi" w:eastAsiaTheme="majorEastAsia" w:cstheme="majorBidi"/>
      <w:color w:val="366091" w:themeColor="accent1" w:themeShade="BF"/>
      <w:sz w:val="32"/>
      <w:szCs w:val="32"/>
      <w:lang w:val="en-US" w:bidi="ar-SA"/>
    </w:rPr>
  </w:style>
  <w:style w:type="character" w:customStyle="1" w:styleId="19">
    <w:name w:val="批注框文本 字符"/>
    <w:basedOn w:val="10"/>
    <w:link w:val="5"/>
    <w:autoRedefine/>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A8A4593-FF7D-4277-8CC6-EBE0069AB83D}">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14124</Words>
  <Characters>14235</Characters>
  <Lines>128</Lines>
  <Paragraphs>36</Paragraphs>
  <TotalTime>0</TotalTime>
  <ScaleCrop>false</ScaleCrop>
  <LinksUpToDate>false</LinksUpToDate>
  <CharactersWithSpaces>14306</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2019-06-04T02:04:00Z</dcterms:created>
  <dc:creator>尚丹</dc:creator>
  <cp:lastModifiedBy>白洪锟</cp:lastModifiedBy>
  <cp:lastPrinted>2019-11-19T12:09:00Z</cp:lastPrinted>
  <dcterms:modified xsi:type="dcterms:W3CDTF">2024-03-20T18:25:06Z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2018-08-30T00:00:00Z</vt:filetime>
  </property>
  <property fmtid="{D5CDD505-2E9C-101B-9397-08002B2CF9AE}" pid="3" name="Creator">
    <vt:lpwstr>Acrobat PDFMaker 15 Word 版</vt:lpwstr>
  </property>
  <property fmtid="{D5CDD505-2E9C-101B-9397-08002B2CF9AE}" pid="4" name="LastSaved">
    <vt:filetime>2019-06-04T00:00:00Z</vt:filetime>
  </property>
  <property fmtid="{D5CDD505-2E9C-101B-9397-08002B2CF9AE}" pid="5" name="KSOProductBuildVer">
    <vt:lpwstr>2052-12.1.0.16388</vt:lpwstr>
  </property>
  <property fmtid="{D5CDD505-2E9C-101B-9397-08002B2CF9AE}" pid="6" name="ICV">
    <vt:lpwstr>C0943209A853454E968E0EF69AF731A2</vt:lpwstr>
  </property>
</Properties>
</file>